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2203" w:rsidRPr="00542203" w:rsidRDefault="002E273A" w:rsidP="00542203">
      <w:pPr>
        <w:spacing w:after="120" w:line="0" w:lineRule="atLeast"/>
        <w:jc w:val="center"/>
        <w:rPr>
          <w:rFonts w:ascii="Arial" w:hAnsi="Arial" w:cs="Arial"/>
          <w:b/>
          <w:color w:val="000000"/>
          <w:sz w:val="24"/>
          <w:szCs w:val="24"/>
          <w:shd w:val="clear" w:color="auto" w:fill="FFFFFF"/>
        </w:rPr>
      </w:pPr>
      <w:r>
        <w:rPr>
          <w:rFonts w:ascii="Arial" w:hAnsi="Arial" w:cs="Arial"/>
          <w:b/>
          <w:color w:val="000000"/>
          <w:sz w:val="24"/>
          <w:szCs w:val="24"/>
          <w:shd w:val="clear" w:color="auto" w:fill="FFFFFF"/>
        </w:rPr>
        <w:t>Convegno “</w:t>
      </w:r>
      <w:r w:rsidR="00542203" w:rsidRPr="00542203">
        <w:rPr>
          <w:rFonts w:ascii="Arial" w:hAnsi="Arial" w:cs="Arial"/>
          <w:b/>
          <w:color w:val="000000"/>
          <w:sz w:val="24"/>
          <w:szCs w:val="24"/>
          <w:shd w:val="clear" w:color="auto" w:fill="FFFFFF"/>
        </w:rPr>
        <w:t xml:space="preserve">Alternanza scuola-lavoro: </w:t>
      </w:r>
      <w:r w:rsidR="00956019" w:rsidRPr="00542203">
        <w:rPr>
          <w:rFonts w:ascii="Arial" w:hAnsi="Arial" w:cs="Arial"/>
          <w:b/>
          <w:color w:val="000000"/>
          <w:sz w:val="24"/>
          <w:szCs w:val="24"/>
          <w:shd w:val="clear" w:color="auto" w:fill="FFFFFF"/>
        </w:rPr>
        <w:t>Il ‘</w:t>
      </w:r>
      <w:r w:rsidR="00542203" w:rsidRPr="00542203">
        <w:rPr>
          <w:rFonts w:ascii="Arial" w:hAnsi="Arial" w:cs="Arial"/>
          <w:b/>
          <w:color w:val="000000"/>
          <w:sz w:val="24"/>
          <w:szCs w:val="24"/>
          <w:shd w:val="clear" w:color="auto" w:fill="FFFFFF"/>
        </w:rPr>
        <w:t>percorso’ nel patrimonio storico artistico e culturale italiano valorizzato dalle dimore storiche</w:t>
      </w:r>
      <w:r>
        <w:rPr>
          <w:rFonts w:ascii="Arial" w:hAnsi="Arial" w:cs="Arial"/>
          <w:b/>
          <w:color w:val="000000"/>
          <w:sz w:val="24"/>
          <w:szCs w:val="24"/>
          <w:shd w:val="clear" w:color="auto" w:fill="FFFFFF"/>
        </w:rPr>
        <w:t>”</w:t>
      </w:r>
      <w:r w:rsidR="00542203" w:rsidRPr="00542203">
        <w:rPr>
          <w:rFonts w:ascii="Arial" w:hAnsi="Arial" w:cs="Arial"/>
          <w:b/>
          <w:color w:val="000000"/>
          <w:sz w:val="24"/>
          <w:szCs w:val="24"/>
          <w:shd w:val="clear" w:color="auto" w:fill="FFFFFF"/>
        </w:rPr>
        <w:t xml:space="preserve">  </w:t>
      </w:r>
    </w:p>
    <w:p w:rsidR="00542203" w:rsidRPr="00542203" w:rsidRDefault="00542203" w:rsidP="00542203">
      <w:pPr>
        <w:spacing w:after="120" w:line="0" w:lineRule="atLeast"/>
        <w:jc w:val="center"/>
        <w:rPr>
          <w:rFonts w:ascii="Arial" w:hAnsi="Arial" w:cs="Arial"/>
          <w:b/>
          <w:color w:val="000000"/>
          <w:sz w:val="24"/>
          <w:szCs w:val="24"/>
          <w:shd w:val="clear" w:color="auto" w:fill="FFFFFF"/>
        </w:rPr>
      </w:pPr>
      <w:r w:rsidRPr="002E273A">
        <w:rPr>
          <w:rFonts w:ascii="Arial" w:hAnsi="Arial" w:cs="Arial"/>
          <w:b/>
          <w:color w:val="000000"/>
          <w:sz w:val="20"/>
          <w:szCs w:val="20"/>
          <w:shd w:val="clear" w:color="auto" w:fill="FFFFFF"/>
        </w:rPr>
        <w:t>promosso dal MIUR e ADSI a seguito del protocollo d'intesa recentemente firmato</w:t>
      </w:r>
      <w:r w:rsidRPr="002E273A">
        <w:rPr>
          <w:rFonts w:ascii="Arial" w:hAnsi="Arial" w:cs="Arial"/>
          <w:b/>
          <w:color w:val="000000"/>
          <w:sz w:val="20"/>
          <w:szCs w:val="20"/>
        </w:rPr>
        <w:br/>
      </w:r>
      <w:r w:rsidRPr="00542203">
        <w:rPr>
          <w:rFonts w:ascii="Arial" w:hAnsi="Arial" w:cs="Arial"/>
          <w:b/>
          <w:color w:val="000000"/>
          <w:sz w:val="24"/>
          <w:szCs w:val="24"/>
        </w:rPr>
        <w:br/>
      </w:r>
      <w:r w:rsidRPr="00542203">
        <w:rPr>
          <w:rFonts w:ascii="Arial" w:hAnsi="Arial" w:cs="Arial"/>
          <w:b/>
          <w:color w:val="000000"/>
          <w:sz w:val="24"/>
          <w:szCs w:val="24"/>
          <w:shd w:val="clear" w:color="auto" w:fill="FFFFFF"/>
        </w:rPr>
        <w:t xml:space="preserve">Firenze, 14 luglio 2016, ore 10:30 – 13:00 </w:t>
      </w:r>
    </w:p>
    <w:p w:rsidR="00542203" w:rsidRPr="00542203" w:rsidRDefault="00542203" w:rsidP="00542203">
      <w:pPr>
        <w:spacing w:after="120" w:line="0" w:lineRule="atLeast"/>
        <w:jc w:val="center"/>
        <w:rPr>
          <w:rFonts w:ascii="Arial" w:hAnsi="Arial" w:cs="Arial"/>
          <w:b/>
          <w:color w:val="000000"/>
          <w:sz w:val="24"/>
          <w:szCs w:val="24"/>
          <w:shd w:val="clear" w:color="auto" w:fill="FFFFFF"/>
        </w:rPr>
      </w:pPr>
      <w:r w:rsidRPr="00542203">
        <w:rPr>
          <w:rFonts w:ascii="Arial" w:hAnsi="Arial" w:cs="Arial"/>
          <w:b/>
          <w:color w:val="000000"/>
          <w:sz w:val="24"/>
          <w:szCs w:val="24"/>
          <w:shd w:val="clear" w:color="auto" w:fill="FFFFFF"/>
        </w:rPr>
        <w:t>Palazzo Vecchio – Sala d’Arme (Piazza della Signoria)</w:t>
      </w:r>
    </w:p>
    <w:p w:rsidR="00542203" w:rsidRDefault="00542203" w:rsidP="00542203">
      <w:pPr>
        <w:spacing w:after="120" w:line="0" w:lineRule="atLeast"/>
        <w:jc w:val="center"/>
        <w:rPr>
          <w:rFonts w:ascii="Arial" w:hAnsi="Arial" w:cs="Arial"/>
          <w:color w:val="000000"/>
          <w:sz w:val="20"/>
          <w:szCs w:val="20"/>
          <w:shd w:val="clear" w:color="auto" w:fill="FFFFFF"/>
        </w:rPr>
      </w:pPr>
    </w:p>
    <w:p w:rsidR="00F3509B" w:rsidRPr="00542203" w:rsidRDefault="00460672" w:rsidP="00542203">
      <w:pPr>
        <w:spacing w:after="120" w:line="0" w:lineRule="atLeast"/>
        <w:jc w:val="center"/>
        <w:rPr>
          <w:rFonts w:ascii="Arial" w:hAnsi="Arial" w:cs="Arial"/>
          <w:color w:val="000000"/>
          <w:sz w:val="20"/>
          <w:szCs w:val="20"/>
          <w:shd w:val="clear" w:color="auto" w:fill="FFFFFF"/>
        </w:rPr>
      </w:pPr>
      <w:r w:rsidRPr="00E86802">
        <w:rPr>
          <w:b/>
        </w:rPr>
        <w:t xml:space="preserve">Valorizzazione del patrimonio culturale </w:t>
      </w:r>
      <w:r w:rsidR="00BA4B16" w:rsidRPr="00E86802">
        <w:rPr>
          <w:b/>
        </w:rPr>
        <w:t>dell’ADSI</w:t>
      </w:r>
      <w:r w:rsidRPr="00E86802">
        <w:rPr>
          <w:b/>
        </w:rPr>
        <w:t xml:space="preserve"> attraverso </w:t>
      </w:r>
      <w:r w:rsidR="00E4063E" w:rsidRPr="00E86802">
        <w:rPr>
          <w:b/>
        </w:rPr>
        <w:t xml:space="preserve">percorsi di </w:t>
      </w:r>
      <w:r w:rsidRPr="00E86802">
        <w:rPr>
          <w:b/>
        </w:rPr>
        <w:t>alternanza scuola-lavoro</w:t>
      </w:r>
      <w:r w:rsidR="00A40AA5" w:rsidRPr="00E86802">
        <w:rPr>
          <w:rStyle w:val="Rimandonotaapidipagina"/>
          <w:b/>
        </w:rPr>
        <w:footnoteReference w:id="1"/>
      </w:r>
    </w:p>
    <w:p w:rsidR="00542203" w:rsidRPr="00E86802" w:rsidRDefault="00542203" w:rsidP="00E86802">
      <w:pPr>
        <w:spacing w:after="120" w:line="0" w:lineRule="atLeast"/>
        <w:jc w:val="center"/>
        <w:rPr>
          <w:b/>
        </w:rPr>
      </w:pPr>
      <w:r>
        <w:rPr>
          <w:b/>
        </w:rPr>
        <w:t>Intervento di Luciano Monti</w:t>
      </w:r>
    </w:p>
    <w:p w:rsidR="00330840" w:rsidRDefault="00330840" w:rsidP="00E86802">
      <w:pPr>
        <w:spacing w:after="120" w:line="0" w:lineRule="atLeast"/>
        <w:jc w:val="center"/>
        <w:rPr>
          <w:b/>
        </w:rPr>
      </w:pPr>
    </w:p>
    <w:p w:rsidR="00C72BBA" w:rsidRPr="00E86802" w:rsidRDefault="00C72BBA" w:rsidP="00E86802">
      <w:pPr>
        <w:spacing w:after="120" w:line="0" w:lineRule="atLeast"/>
        <w:jc w:val="center"/>
        <w:rPr>
          <w:b/>
        </w:rPr>
      </w:pPr>
    </w:p>
    <w:p w:rsidR="00330840" w:rsidRPr="00E86802" w:rsidRDefault="00330840" w:rsidP="00E86802">
      <w:pPr>
        <w:spacing w:after="120" w:line="0" w:lineRule="atLeast"/>
        <w:rPr>
          <w:b/>
        </w:rPr>
      </w:pPr>
      <w:r w:rsidRPr="00E86802">
        <w:rPr>
          <w:b/>
        </w:rPr>
        <w:t>Abstract</w:t>
      </w:r>
    </w:p>
    <w:p w:rsidR="00330840" w:rsidRPr="00E86802" w:rsidRDefault="00330840" w:rsidP="00E86802">
      <w:pPr>
        <w:spacing w:after="120" w:line="0" w:lineRule="atLeast"/>
        <w:jc w:val="both"/>
      </w:pPr>
      <w:r w:rsidRPr="00E86802">
        <w:t>La recente firma del protocollo d’intesa tra il MIUR e l’Associazione Dimore Storiche Italiane (</w:t>
      </w:r>
      <w:r w:rsidR="00516EBB" w:rsidRPr="00E86802">
        <w:t>ADSI) rappresenta</w:t>
      </w:r>
      <w:r w:rsidRPr="00E86802">
        <w:t xml:space="preserve"> una formidabile occasione per coniugare le opportunità di crescita del capitale umano rappresentato dalle giovani generazioni di studenti del triennio superiore e le opportunità di tutela e valorizzazione del grande patrimonio storico, artistico e culturale rappresentato dalle dimore storiche private disseminate su tutto il territorio nazionale. Si tratta di due realtà entrambe “messe a rischio” che richiedono ora politiche organiche e di lungo respiro volte da un lato a ridurre il consistente divario generazionale (dei giovani) e la marginalizzazione (delle dimore storiche)</w:t>
      </w:r>
      <w:r w:rsidR="00E33DA2" w:rsidRPr="00E86802">
        <w:t xml:space="preserve">. </w:t>
      </w:r>
      <w:r w:rsidRPr="00E86802">
        <w:t xml:space="preserve"> </w:t>
      </w:r>
    </w:p>
    <w:p w:rsidR="00E33DA2" w:rsidRPr="00E86802" w:rsidRDefault="00E33DA2" w:rsidP="00E86802">
      <w:pPr>
        <w:spacing w:after="120" w:line="0" w:lineRule="atLeast"/>
        <w:jc w:val="both"/>
      </w:pPr>
      <w:r w:rsidRPr="00E86802">
        <w:t xml:space="preserve">Lo spunto della riflessione parte dall’esame di poco meno di un centinaio di dimore storiche toscane che svolgono anche attività di impresa e che rappresentano dunque le prime candidate a rappresentare le entità di riferimento per percorsi di alternanza </w:t>
      </w:r>
      <w:r w:rsidR="00145D54">
        <w:t xml:space="preserve">- </w:t>
      </w:r>
      <w:r w:rsidRPr="00E86802">
        <w:t>scuola lavoro rivolti a quella che può essere definita la nuova economia della cultura.</w:t>
      </w:r>
    </w:p>
    <w:p w:rsidR="00E33DA2" w:rsidRPr="00E86802" w:rsidRDefault="00E33DA2" w:rsidP="00E86802">
      <w:pPr>
        <w:spacing w:after="120" w:line="0" w:lineRule="atLeast"/>
        <w:jc w:val="both"/>
      </w:pPr>
      <w:r w:rsidRPr="00E86802">
        <w:t>L’esame del campione, che non ha tuttavia la pretesa ancora di rappresentare il variegato microcosmo delle dimore storiche italiane, dimostra come i settori interessati s</w:t>
      </w:r>
      <w:r w:rsidR="00E726CD">
        <w:t>ia</w:t>
      </w:r>
      <w:r w:rsidRPr="00E86802">
        <w:t>no numerosi, così come le competenze che vi si sviluppano. Competenze che possono arricchire non solo gli studenti che hanno intrapreso i percorsi dell’offerta liceale ma anche quelli che si stanno formando negli istituti tecnici e professionali.</w:t>
      </w:r>
    </w:p>
    <w:p w:rsidR="0007688D" w:rsidRPr="00E86802" w:rsidRDefault="0007688D" w:rsidP="00E86802">
      <w:pPr>
        <w:spacing w:after="120" w:line="0" w:lineRule="atLeast"/>
        <w:jc w:val="both"/>
      </w:pPr>
      <w:r w:rsidRPr="00E86802">
        <w:t>Si scopre che le attività delle dimore storiche non è solo circoscritta all’organizzazione di eventi e alla funzione di ospitalità e (talvolta) di ristorazione, ma spazia dallo Storytelling alla promozione del turismo esperienziale ed ecosostenibile, per arrivare anche all’artigianato e alla riscoperta di quelli che possono essere definiti i “lavori dimenticati”.</w:t>
      </w:r>
    </w:p>
    <w:p w:rsidR="0007688D" w:rsidRPr="00E86802" w:rsidRDefault="0007688D" w:rsidP="00E86802">
      <w:pPr>
        <w:spacing w:after="120" w:line="0" w:lineRule="atLeast"/>
        <w:jc w:val="both"/>
        <w:rPr>
          <w:rFonts w:eastAsia="Times New Roman" w:cs="Times New Roman"/>
          <w:color w:val="000000"/>
        </w:rPr>
      </w:pPr>
      <w:r w:rsidRPr="00E86802">
        <w:t>Anche tra le competenze ci sono delle sorprese, e molti sono i versanti trasversali come l’</w:t>
      </w:r>
      <w:r w:rsidRPr="00E86802">
        <w:rPr>
          <w:rFonts w:eastAsia="Times New Roman" w:cs="Times New Roman"/>
          <w:color w:val="000000"/>
        </w:rPr>
        <w:t>Interazione con il pubblico e conoscenza delle lingue straniere e il problem solving.</w:t>
      </w:r>
    </w:p>
    <w:p w:rsidR="00460672" w:rsidRPr="00C72BBA" w:rsidRDefault="00E86802" w:rsidP="00E86802">
      <w:pPr>
        <w:spacing w:after="120" w:line="0" w:lineRule="atLeast"/>
        <w:jc w:val="both"/>
        <w:rPr>
          <w:rFonts w:eastAsia="Times New Roman" w:cs="Times New Roman"/>
          <w:color w:val="000000"/>
        </w:rPr>
      </w:pPr>
      <w:r w:rsidRPr="00E86802">
        <w:rPr>
          <w:rFonts w:eastAsia="Times New Roman" w:cs="Times New Roman"/>
          <w:color w:val="000000"/>
        </w:rPr>
        <w:t>Soprese anche dall’analisi quantitativa, che lascerebbe intravvedere, in una realtà come quella senese per empio, di poter indirizzare 1 studente su 10 in questo percorso. Uno studente che imparando a raccontare, rappresentare e valorizzare una dimora storica, imparerà anche a raccontare un po’ di se stesso. E questo non è poco per il mondo del lavoro ma in generale per la collettività.</w:t>
      </w:r>
    </w:p>
    <w:p w:rsidR="00C72BBA" w:rsidRDefault="00C72BBA" w:rsidP="00E86802">
      <w:pPr>
        <w:spacing w:after="120" w:line="0" w:lineRule="atLeast"/>
        <w:jc w:val="both"/>
        <w:rPr>
          <w:b/>
        </w:rPr>
      </w:pPr>
    </w:p>
    <w:p w:rsidR="00460672" w:rsidRPr="00E86802" w:rsidRDefault="00636668" w:rsidP="00E86802">
      <w:pPr>
        <w:spacing w:after="120" w:line="0" w:lineRule="atLeast"/>
        <w:jc w:val="both"/>
        <w:rPr>
          <w:b/>
        </w:rPr>
      </w:pPr>
      <w:r w:rsidRPr="00E86802">
        <w:rPr>
          <w:b/>
        </w:rPr>
        <w:t xml:space="preserve">1 </w:t>
      </w:r>
      <w:r w:rsidR="00460672" w:rsidRPr="00E86802">
        <w:rPr>
          <w:b/>
        </w:rPr>
        <w:t>Analisi del contesto e principali criticità</w:t>
      </w:r>
    </w:p>
    <w:p w:rsidR="00E4063E" w:rsidRPr="00A56912" w:rsidRDefault="00E4063E" w:rsidP="00E86802">
      <w:pPr>
        <w:spacing w:after="120" w:line="0" w:lineRule="atLeast"/>
        <w:jc w:val="both"/>
      </w:pPr>
      <w:r w:rsidRPr="00E86802">
        <w:lastRenderedPageBreak/>
        <w:t>Le riflessioni esposte in questo intervento prendono spunto dai dati emersi nel corso di una indagine svolta dagli studenti nell’ambito della IV edizione del laboratorio Erasmus+ “Cantieri d’Europa” dell’Università Luiss Guido Carli svoltosi nel secondo semestre dell’a.a.</w:t>
      </w:r>
      <w:r w:rsidR="00145D54">
        <w:t xml:space="preserve"> </w:t>
      </w:r>
      <w:r w:rsidRPr="00E86802">
        <w:t xml:space="preserve">2015-2016 </w:t>
      </w:r>
      <w:r w:rsidR="00144532" w:rsidRPr="00E86802">
        <w:t xml:space="preserve">in collaborazione con l’Associazione Dimore Storiche Italiane (ADSI) </w:t>
      </w:r>
      <w:r w:rsidR="00304BAB" w:rsidRPr="00E86802">
        <w:t xml:space="preserve">e </w:t>
      </w:r>
      <w:r w:rsidRPr="00E86802">
        <w:t>fa anche riferimento ai</w:t>
      </w:r>
      <w:r w:rsidR="00304BAB" w:rsidRPr="00E86802">
        <w:t xml:space="preserve"> risultati di uno studio realizzato</w:t>
      </w:r>
      <w:r w:rsidRPr="00E86802">
        <w:t xml:space="preserve"> nell’anno precedente</w:t>
      </w:r>
      <w:r w:rsidR="00304BAB" w:rsidRPr="00E86802">
        <w:t xml:space="preserve"> dalla Fondazione </w:t>
      </w:r>
      <w:r w:rsidR="00304BAB" w:rsidRPr="00A56912">
        <w:t>Bruno Visentini su dati del Censimento ADSI 2015</w:t>
      </w:r>
      <w:r w:rsidRPr="00A56912">
        <w:rPr>
          <w:rStyle w:val="Rimandonotaapidipagina"/>
        </w:rPr>
        <w:footnoteReference w:id="2"/>
      </w:r>
      <w:r w:rsidRPr="00A56912">
        <w:t xml:space="preserve"> e ad alcune elaborazioni sui dati Indire circa il coinvolgimento di imprese e studenti nei percorsi di alternanza discussi nel corso di un seminario</w:t>
      </w:r>
      <w:r w:rsidRPr="00A56912">
        <w:rPr>
          <w:rStyle w:val="Rimandonotaapidipagina"/>
        </w:rPr>
        <w:footnoteReference w:id="3"/>
      </w:r>
      <w:r w:rsidRPr="00A56912">
        <w:t>.</w:t>
      </w:r>
    </w:p>
    <w:p w:rsidR="000554AF" w:rsidRPr="00A56912" w:rsidRDefault="00516EBB" w:rsidP="00E86802">
      <w:pPr>
        <w:spacing w:after="120" w:line="0" w:lineRule="atLeast"/>
        <w:jc w:val="both"/>
      </w:pPr>
      <w:r w:rsidRPr="00A56912">
        <w:t>L’obiettivo è</w:t>
      </w:r>
      <w:r w:rsidR="00780B81" w:rsidRPr="00A56912">
        <w:t xml:space="preserve"> di offrire una prima occasion</w:t>
      </w:r>
      <w:r w:rsidR="00CF5550" w:rsidRPr="00A56912">
        <w:t>e di riflessione sull’effettiva sinergia tra</w:t>
      </w:r>
      <w:r w:rsidR="00780B81" w:rsidRPr="00A56912">
        <w:t xml:space="preserve"> il </w:t>
      </w:r>
      <w:r w:rsidR="00CF5550" w:rsidRPr="00A56912">
        <w:t xml:space="preserve">nuovo </w:t>
      </w:r>
      <w:r w:rsidR="00780B81" w:rsidRPr="00A56912">
        <w:t xml:space="preserve">sistema di alternanza scuola-lavoro, così come riformato dalla legge 107/2015, </w:t>
      </w:r>
      <w:r w:rsidR="00CF5550" w:rsidRPr="00A56912">
        <w:t xml:space="preserve">e le opportunità di valorizzazione </w:t>
      </w:r>
      <w:r w:rsidR="00780B81" w:rsidRPr="00A56912">
        <w:t>del patrimonio culturale, artistico e storico offerto dalle dimore storiche</w:t>
      </w:r>
      <w:r w:rsidR="00CF5550" w:rsidRPr="00A56912">
        <w:t xml:space="preserve"> private</w:t>
      </w:r>
      <w:r w:rsidR="00780B81" w:rsidRPr="00A56912">
        <w:t xml:space="preserve"> del nostro Paese. </w:t>
      </w:r>
      <w:r w:rsidR="00CF5550" w:rsidRPr="00A56912">
        <w:t xml:space="preserve">I punti di partenza appaiono tra loro distanti e la strada per la loro </w:t>
      </w:r>
      <w:r w:rsidR="00FF3C74" w:rsidRPr="00A56912">
        <w:t xml:space="preserve">convergenza </w:t>
      </w:r>
      <w:r w:rsidR="00CF5550" w:rsidRPr="00A56912">
        <w:t xml:space="preserve">in salita. </w:t>
      </w:r>
    </w:p>
    <w:p w:rsidR="00304BAB" w:rsidRPr="00A56912" w:rsidRDefault="00CF5550" w:rsidP="00E86802">
      <w:pPr>
        <w:spacing w:after="120" w:line="0" w:lineRule="atLeast"/>
        <w:jc w:val="both"/>
      </w:pPr>
      <w:r w:rsidRPr="00A56912">
        <w:t>Da un lato l’</w:t>
      </w:r>
      <w:r w:rsidR="00780B81" w:rsidRPr="00A56912">
        <w:t>anno scolastico 2015/2016, che ha segnato l’avvio dell’obbligatorietà dell’alternanza scu</w:t>
      </w:r>
      <w:r w:rsidR="00F554ED" w:rsidRPr="00A56912">
        <w:t xml:space="preserve">ola-lavoro presso le classi terze </w:t>
      </w:r>
      <w:r w:rsidR="00780B81" w:rsidRPr="00A56912">
        <w:t>(per le classi quarte e quinte, invece, le attività sono state attivate sulla base di progetti innov</w:t>
      </w:r>
      <w:r w:rsidR="00F504E3" w:rsidRPr="00A56912">
        <w:t xml:space="preserve">ativi), </w:t>
      </w:r>
      <w:r w:rsidRPr="00A56912">
        <w:t xml:space="preserve">ha evidenziato numerose </w:t>
      </w:r>
      <w:r w:rsidR="00F504E3" w:rsidRPr="00A56912">
        <w:t>criticità</w:t>
      </w:r>
      <w:r w:rsidRPr="00A56912">
        <w:t xml:space="preserve"> (spesso anche semplicemente logistiche)</w:t>
      </w:r>
      <w:r w:rsidR="00F504E3" w:rsidRPr="00A56912">
        <w:t xml:space="preserve"> </w:t>
      </w:r>
      <w:r w:rsidRPr="00A56912">
        <w:t>in buona misura derivate dalla difficoltà di instaurare</w:t>
      </w:r>
      <w:r w:rsidR="00F504E3" w:rsidRPr="00A56912">
        <w:t xml:space="preserve"> un dialogo</w:t>
      </w:r>
      <w:r w:rsidRPr="00A56912">
        <w:t xml:space="preserve"> alla pari</w:t>
      </w:r>
      <w:r w:rsidR="00F504E3" w:rsidRPr="00A56912">
        <w:t xml:space="preserve"> tra scuola e </w:t>
      </w:r>
      <w:r w:rsidRPr="00A56912">
        <w:t>il mondo del lavoro. In aggi</w:t>
      </w:r>
      <w:r w:rsidR="000554AF" w:rsidRPr="00A56912">
        <w:t xml:space="preserve">unta ci si è dovuti confrontare con la persistente congiuntura negativa dell’economia con conseguente contrazione </w:t>
      </w:r>
      <w:r w:rsidR="00F504E3" w:rsidRPr="00A56912">
        <w:t>dell’offerta proveniente dalle imprese rispetto al numero di studenti coinvolti nel programma</w:t>
      </w:r>
      <w:r w:rsidR="000554AF" w:rsidRPr="00A56912">
        <w:rPr>
          <w:rStyle w:val="Rimandonotaapidipagina"/>
        </w:rPr>
        <w:footnoteReference w:id="4"/>
      </w:r>
      <w:r w:rsidR="00F504E3" w:rsidRPr="00A56912">
        <w:t xml:space="preserve">. </w:t>
      </w:r>
      <w:r w:rsidR="000554AF" w:rsidRPr="00A56912">
        <w:t xml:space="preserve">Considerando che </w:t>
      </w:r>
      <w:r w:rsidR="00F504E3" w:rsidRPr="00A56912">
        <w:t>per il 2015/2016 l’alternanza ha riguardato solo le classi terze, questo processo coinvolgerà le quarte già da settembre 2016, pe</w:t>
      </w:r>
      <w:r w:rsidR="005B2611" w:rsidRPr="00A56912">
        <w:t>r poi completarsi nell’a.s. 201</w:t>
      </w:r>
      <w:r w:rsidR="00F504E3" w:rsidRPr="00A56912">
        <w:t>7/201</w:t>
      </w:r>
      <w:r w:rsidR="00E726CD">
        <w:t>8</w:t>
      </w:r>
      <w:r w:rsidR="00F504E3" w:rsidRPr="00A56912">
        <w:t xml:space="preserve">, prevedendo l’obbligatorietà di almeno 400 e 200 ore per tutti gli studenti dell’ultimo triennio. </w:t>
      </w:r>
      <w:r w:rsidR="000554AF" w:rsidRPr="00A56912">
        <w:t xml:space="preserve">Le </w:t>
      </w:r>
      <w:r w:rsidR="00F504E3" w:rsidRPr="00A56912">
        <w:t xml:space="preserve">difficoltà che i dirigenti scolastici hanno già affrontato nel corso di quest’anno sono </w:t>
      </w:r>
      <w:r w:rsidR="000554AF" w:rsidRPr="00A56912">
        <w:t xml:space="preserve">dunque </w:t>
      </w:r>
      <w:r w:rsidR="00F504E3" w:rsidRPr="00A56912">
        <w:t xml:space="preserve">destinate ad aumentare, </w:t>
      </w:r>
      <w:r w:rsidR="000554AF" w:rsidRPr="00A56912">
        <w:t xml:space="preserve">se non si prevede </w:t>
      </w:r>
      <w:r w:rsidR="00F504E3" w:rsidRPr="00A56912">
        <w:t>il diretto coinvolgimento dei principali attori socio-economici dei singoli territori</w:t>
      </w:r>
      <w:r w:rsidR="000554AF" w:rsidRPr="00A56912">
        <w:t xml:space="preserve"> e l’allargamento dello spettro delle imprese coinvolgibili.</w:t>
      </w:r>
    </w:p>
    <w:p w:rsidR="000554AF" w:rsidRPr="00A56912" w:rsidRDefault="000554AF" w:rsidP="00E86802">
      <w:pPr>
        <w:spacing w:after="120" w:line="0" w:lineRule="atLeast"/>
        <w:jc w:val="both"/>
      </w:pPr>
      <w:r w:rsidRPr="00A56912">
        <w:t>Dall’altro lato, le esigenze di salvaguardia dell’immenso patrimonio rappresentato dalla dimore storiche, minacciato da politiche fiscali a corto raggio volte ad equiparare tali beni (sulla sia di imperante qualunquismo) a dei semplici beni di lusso, nonché le esperienze maturate da altri paesi europei stanno spingendo verso approcci più costruttivi</w:t>
      </w:r>
      <w:r w:rsidRPr="00A56912">
        <w:rPr>
          <w:rStyle w:val="Rimandonotaapidipagina"/>
        </w:rPr>
        <w:footnoteReference w:id="5"/>
      </w:r>
      <w:r w:rsidRPr="00A56912">
        <w:t>.</w:t>
      </w:r>
      <w:r w:rsidR="007D3D71" w:rsidRPr="00A56912">
        <w:t xml:space="preserve"> Un cambio di prospettiva  che induce ha spostare l’attenzione dal “custode del bene” (il proprietario della dimora) al “bene” (la dimora storica) con tutto il suo potenziale non solo economico  (fungendo da moltiplicatore) ma anche sociale (</w:t>
      </w:r>
      <w:r w:rsidR="00E33DA2" w:rsidRPr="00A56912">
        <w:t>il ruolo collettivo e comunitario del patrimonio culturale</w:t>
      </w:r>
      <w:r w:rsidR="007D3D71" w:rsidRPr="00A56912">
        <w:t>)</w:t>
      </w:r>
      <w:r w:rsidR="00E33DA2" w:rsidRPr="00A56912">
        <w:rPr>
          <w:rStyle w:val="Rimandonotaapidipagina"/>
        </w:rPr>
        <w:footnoteReference w:id="6"/>
      </w:r>
      <w:r w:rsidR="007D3D71" w:rsidRPr="00A56912">
        <w:t>.</w:t>
      </w:r>
    </w:p>
    <w:p w:rsidR="007D3D71" w:rsidRPr="00A56912" w:rsidRDefault="00F504E3" w:rsidP="00E86802">
      <w:pPr>
        <w:spacing w:after="120" w:line="0" w:lineRule="atLeast"/>
        <w:jc w:val="both"/>
      </w:pPr>
      <w:r w:rsidRPr="00A56912">
        <w:t xml:space="preserve">A partire da queste </w:t>
      </w:r>
      <w:r w:rsidR="005B2611" w:rsidRPr="00A56912">
        <w:t>criticità</w:t>
      </w:r>
      <w:r w:rsidRPr="00A56912">
        <w:t xml:space="preserve"> riscontrate</w:t>
      </w:r>
      <w:r w:rsidR="007D3D71" w:rsidRPr="00A56912">
        <w:t>, l’analisi qui sviluppata</w:t>
      </w:r>
      <w:r w:rsidRPr="00A56912">
        <w:t xml:space="preserve"> si pone l’obiettivo di </w:t>
      </w:r>
      <w:r w:rsidR="007D3D71" w:rsidRPr="00A56912">
        <w:t xml:space="preserve">verificare gli spazi di un possibile coinvolgimento delle dimore storiche nei percorsi di alternanza. </w:t>
      </w:r>
      <w:r w:rsidRPr="00A56912">
        <w:t xml:space="preserve">La </w:t>
      </w:r>
      <w:r w:rsidR="007D3D71" w:rsidRPr="00A56912">
        <w:t xml:space="preserve">nuova </w:t>
      </w:r>
      <w:r w:rsidRPr="00A56912">
        <w:t>normativa, infatti, riconosce la possibilità di stipulare convenzioni per lo svolgimento di percorsi di alternanza scuola-lavoro anche con gli ordini professionali e con enti pubblici e privati che svolgono attività afferenti al patrimonio artistico, culturale e ambientale. Tra questi, le oltre 30</w:t>
      </w:r>
      <w:r w:rsidR="007D3D71" w:rsidRPr="00A56912">
        <w:t>.</w:t>
      </w:r>
      <w:r w:rsidRPr="00A56912">
        <w:t>000 dimore storiche italiane</w:t>
      </w:r>
      <w:r w:rsidR="007D3D71" w:rsidRPr="00A56912">
        <w:rPr>
          <w:rStyle w:val="Rimandonotaapidipagina"/>
        </w:rPr>
        <w:footnoteReference w:id="7"/>
      </w:r>
      <w:r w:rsidRPr="00A56912">
        <w:t xml:space="preserve"> costituiscono un patrimonio storico-culturale fondamentale, il cui contributo a livello economico e occupazionale è troppo spesso</w:t>
      </w:r>
      <w:r w:rsidR="008D4291" w:rsidRPr="00A56912">
        <w:t xml:space="preserve"> </w:t>
      </w:r>
      <w:r w:rsidR="007D3D71" w:rsidRPr="00A56912">
        <w:t>ignorato</w:t>
      </w:r>
      <w:r w:rsidRPr="00A56912">
        <w:t xml:space="preserve">. Pertanto, un loro effettivo coinvolgimento nei </w:t>
      </w:r>
      <w:r w:rsidRPr="00A56912">
        <w:lastRenderedPageBreak/>
        <w:t xml:space="preserve">percorsi di alternanza potrebbe avere un impatto positivo in termini di potenziamento del sistema di transizione scuola-lavoro e di futura crescita inclusiva </w:t>
      </w:r>
      <w:r w:rsidR="008D4291" w:rsidRPr="00A56912">
        <w:t>e sostenibile del nostro Paese.</w:t>
      </w:r>
    </w:p>
    <w:p w:rsidR="00240464" w:rsidRDefault="007D3D71" w:rsidP="00E86802">
      <w:pPr>
        <w:spacing w:after="120" w:line="0" w:lineRule="atLeast"/>
        <w:jc w:val="both"/>
      </w:pPr>
      <w:r w:rsidRPr="00A56912">
        <w:t xml:space="preserve">In concreto il tentativo è quello </w:t>
      </w:r>
      <w:r w:rsidR="00240464" w:rsidRPr="00A56912">
        <w:t>di affrontare congiuntamente le criticità legate all’attuazione dei percorsi</w:t>
      </w:r>
      <w:r w:rsidR="002524FF" w:rsidRPr="00A56912">
        <w:t xml:space="preserve"> di alternanza scuola-lavoro e </w:t>
      </w:r>
      <w:r w:rsidR="00240464" w:rsidRPr="00A56912">
        <w:t xml:space="preserve">le problematiche di valorizzazione delle dimore storiche italiane, attraverso due campi di indagine: </w:t>
      </w:r>
      <w:r w:rsidRPr="00A56912">
        <w:t>a)</w:t>
      </w:r>
      <w:r w:rsidR="00240464" w:rsidRPr="00A56912">
        <w:t xml:space="preserve"> la rilevazione di possibili competenze tecniche e/o professionali che gli studenti</w:t>
      </w:r>
      <w:r w:rsidR="00240464" w:rsidRPr="00E86802">
        <w:t xml:space="preserve"> potrebbero acquisire presso le dimore storiche;</w:t>
      </w:r>
      <w:r w:rsidRPr="00E86802">
        <w:t xml:space="preserve"> b) </w:t>
      </w:r>
      <w:r w:rsidR="00240464" w:rsidRPr="00E86802">
        <w:t>i vantaggi che, da questa iniziativa, potrebbero trarre le stesse dimore storiche in termini</w:t>
      </w:r>
      <w:r w:rsidRPr="00E86802">
        <w:t xml:space="preserve"> di maggiore compenetrazione nel tessuto economico sociale di riferimento</w:t>
      </w:r>
      <w:r w:rsidR="00240464" w:rsidRPr="00E86802">
        <w:t xml:space="preserve">. </w:t>
      </w:r>
    </w:p>
    <w:p w:rsidR="00C72BBA" w:rsidRPr="00E86802" w:rsidRDefault="00C72BBA" w:rsidP="00E86802">
      <w:pPr>
        <w:spacing w:after="120" w:line="0" w:lineRule="atLeast"/>
        <w:jc w:val="both"/>
      </w:pPr>
    </w:p>
    <w:p w:rsidR="00225809" w:rsidRPr="00E86802" w:rsidRDefault="00636668" w:rsidP="00E86802">
      <w:pPr>
        <w:spacing w:after="120" w:line="0" w:lineRule="atLeast"/>
        <w:jc w:val="both"/>
        <w:rPr>
          <w:b/>
        </w:rPr>
      </w:pPr>
      <w:r w:rsidRPr="00E86802">
        <w:rPr>
          <w:b/>
        </w:rPr>
        <w:t xml:space="preserve">2 </w:t>
      </w:r>
      <w:r w:rsidR="00225809" w:rsidRPr="00E86802">
        <w:rPr>
          <w:b/>
        </w:rPr>
        <w:t xml:space="preserve">Metodologia utilizzata </w:t>
      </w:r>
    </w:p>
    <w:p w:rsidR="00225809" w:rsidRPr="00E86802" w:rsidRDefault="00394C09" w:rsidP="00E86802">
      <w:pPr>
        <w:spacing w:after="120" w:line="0" w:lineRule="atLeast"/>
        <w:jc w:val="both"/>
      </w:pPr>
      <w:r w:rsidRPr="00E86802">
        <w:t xml:space="preserve">Per la definizione del contesto di riferimento generale si sono </w:t>
      </w:r>
      <w:r w:rsidR="00516EBB" w:rsidRPr="00E86802">
        <w:t>acquisiti i</w:t>
      </w:r>
      <w:r w:rsidR="00BA4B16" w:rsidRPr="00E86802">
        <w:t xml:space="preserve"> dati elaborati dall’ADSI nel portale “dimorestoricheitaliane.it” e dalla Sovraintendenza ai Beni Culturali, </w:t>
      </w:r>
      <w:r w:rsidRPr="00E86802">
        <w:t xml:space="preserve">nonché </w:t>
      </w:r>
      <w:r w:rsidR="00BA4B16" w:rsidRPr="00E86802">
        <w:t>da</w:t>
      </w:r>
      <w:r w:rsidRPr="00E86802">
        <w:t>i</w:t>
      </w:r>
      <w:r w:rsidR="00BA4B16" w:rsidRPr="00E86802">
        <w:t xml:space="preserve"> ulteriori portali istituzionali, quali INDIRE, ISTAT e MIUR. </w:t>
      </w:r>
    </w:p>
    <w:p w:rsidR="00EE5918" w:rsidRPr="00E86802" w:rsidRDefault="00394C09" w:rsidP="00E86802">
      <w:pPr>
        <w:spacing w:after="120" w:line="0" w:lineRule="atLeast"/>
        <w:jc w:val="both"/>
      </w:pPr>
      <w:r w:rsidRPr="00E86802">
        <w:t xml:space="preserve">Per la campionatura invece si è fatto riferimento alla Regione Toscana </w:t>
      </w:r>
      <w:r w:rsidR="00516EBB" w:rsidRPr="00E86802">
        <w:t>identificando 98</w:t>
      </w:r>
      <w:r w:rsidR="00CD2982" w:rsidRPr="00E86802">
        <w:t xml:space="preserve"> dimore storiche, che svolgono </w:t>
      </w:r>
      <w:r w:rsidRPr="00E86802">
        <w:t xml:space="preserve">sul territorio anche </w:t>
      </w:r>
      <w:r w:rsidR="00CD2982" w:rsidRPr="00E86802">
        <w:t>attività d’</w:t>
      </w:r>
      <w:r w:rsidR="00EE5918" w:rsidRPr="00E86802">
        <w:t>impresa. La scelta di non estendere l’analisi a l</w:t>
      </w:r>
      <w:r w:rsidR="005E5A34" w:rsidRPr="00E86802">
        <w:t>ivello nazionale è dipesa da due</w:t>
      </w:r>
      <w:r w:rsidR="00EE5918" w:rsidRPr="00E86802">
        <w:t xml:space="preserve"> considerazioni: a) l’intenzione di fornire un contributo il più possibile realistico ai principali </w:t>
      </w:r>
      <w:r w:rsidR="00EE5918" w:rsidRPr="00E86802">
        <w:rPr>
          <w:i/>
        </w:rPr>
        <w:t>stakeholders</w:t>
      </w:r>
      <w:r w:rsidR="00EE5918" w:rsidRPr="00E86802">
        <w:t xml:space="preserve"> del settore; b) la volontà di </w:t>
      </w:r>
      <w:r w:rsidR="005E5A34" w:rsidRPr="00E86802">
        <w:t>approfondire lo studio anche a livello sub-regionale, così da evidenziare le potenziali disparità tra le singole aree</w:t>
      </w:r>
      <w:r w:rsidRPr="00E86802">
        <w:t xml:space="preserve"> provinciali</w:t>
      </w:r>
      <w:r w:rsidR="005E5A34" w:rsidRPr="00E86802">
        <w:t xml:space="preserve">.  </w:t>
      </w:r>
    </w:p>
    <w:p w:rsidR="00094528" w:rsidRPr="00E86802" w:rsidRDefault="00516EBB" w:rsidP="00E86802">
      <w:pPr>
        <w:spacing w:after="120" w:line="0" w:lineRule="atLeast"/>
        <w:jc w:val="both"/>
      </w:pPr>
      <w:r w:rsidRPr="00E86802">
        <w:t>È</w:t>
      </w:r>
      <w:r w:rsidR="00094528" w:rsidRPr="00E86802">
        <w:t xml:space="preserve"> stata, quindi, </w:t>
      </w:r>
      <w:r w:rsidR="00394C09" w:rsidRPr="00E86802">
        <w:t xml:space="preserve">sviluppata </w:t>
      </w:r>
      <w:r w:rsidRPr="00E86802">
        <w:t>una metodologia</w:t>
      </w:r>
      <w:r w:rsidR="00094528" w:rsidRPr="00E86802">
        <w:t xml:space="preserve"> strutturata in </w:t>
      </w:r>
      <w:r w:rsidR="00094528" w:rsidRPr="00E86802">
        <w:rPr>
          <w:i/>
        </w:rPr>
        <w:t>quattro livelli di indagine</w:t>
      </w:r>
      <w:r w:rsidR="00094528" w:rsidRPr="00E86802">
        <w:t>:</w:t>
      </w:r>
    </w:p>
    <w:p w:rsidR="00094528" w:rsidRPr="00E86802" w:rsidRDefault="00094528" w:rsidP="00814589">
      <w:pPr>
        <w:pStyle w:val="Paragrafoelenco"/>
        <w:numPr>
          <w:ilvl w:val="0"/>
          <w:numId w:val="8"/>
        </w:numPr>
        <w:spacing w:after="120" w:line="0" w:lineRule="atLeast"/>
        <w:jc w:val="both"/>
      </w:pPr>
      <w:r w:rsidRPr="00814589">
        <w:rPr>
          <w:i/>
        </w:rPr>
        <w:t>Primo livello:</w:t>
      </w:r>
      <w:r w:rsidRPr="00E86802">
        <w:t xml:space="preserve"> </w:t>
      </w:r>
      <w:r w:rsidR="0019104C" w:rsidRPr="00E86802">
        <w:t>Identificazione e m</w:t>
      </w:r>
      <w:r w:rsidRPr="00E86802">
        <w:t>appatura delle 98 dimore storiche associate ADSI della regione Toscana a livello sub-regionale;</w:t>
      </w:r>
    </w:p>
    <w:p w:rsidR="00094528" w:rsidRPr="00E86802" w:rsidRDefault="00094528" w:rsidP="00814589">
      <w:pPr>
        <w:pStyle w:val="Paragrafoelenco"/>
        <w:numPr>
          <w:ilvl w:val="0"/>
          <w:numId w:val="8"/>
        </w:numPr>
        <w:spacing w:after="120" w:line="0" w:lineRule="atLeast"/>
        <w:jc w:val="both"/>
      </w:pPr>
      <w:r w:rsidRPr="00814589">
        <w:rPr>
          <w:i/>
        </w:rPr>
        <w:t>Secondo livello:</w:t>
      </w:r>
      <w:r w:rsidRPr="00E86802">
        <w:t xml:space="preserve"> Identificazione dei principali servizi offerti dalle dimore storiche </w:t>
      </w:r>
      <w:r w:rsidR="00575E7F" w:rsidRPr="00E86802">
        <w:t>e ripartizione degli stessi in specifiche macro-categorie;</w:t>
      </w:r>
    </w:p>
    <w:p w:rsidR="00575E7F" w:rsidRPr="00E86802" w:rsidRDefault="00575E7F" w:rsidP="00814589">
      <w:pPr>
        <w:pStyle w:val="Paragrafoelenco"/>
        <w:numPr>
          <w:ilvl w:val="0"/>
          <w:numId w:val="8"/>
        </w:numPr>
        <w:spacing w:after="120" w:line="0" w:lineRule="atLeast"/>
        <w:jc w:val="both"/>
      </w:pPr>
      <w:r w:rsidRPr="00814589">
        <w:rPr>
          <w:i/>
        </w:rPr>
        <w:t>Terzo livello:</w:t>
      </w:r>
      <w:r w:rsidRPr="00E86802">
        <w:t xml:space="preserve"> </w:t>
      </w:r>
      <w:r w:rsidR="0019104C" w:rsidRPr="00E86802">
        <w:t xml:space="preserve">Messa in relazione del campione gli </w:t>
      </w:r>
      <w:r w:rsidRPr="00E86802">
        <w:t xml:space="preserve">studenti </w:t>
      </w:r>
      <w:r w:rsidR="00516EBB" w:rsidRPr="00E86802">
        <w:t>toscani potenzialmente</w:t>
      </w:r>
      <w:r w:rsidR="0019104C" w:rsidRPr="00E86802">
        <w:t xml:space="preserve"> coinvolgibili in </w:t>
      </w:r>
      <w:r w:rsidR="00516EBB" w:rsidRPr="00E86802">
        <w:t>un percorso</w:t>
      </w:r>
      <w:r w:rsidR="0019104C" w:rsidRPr="00E86802">
        <w:t xml:space="preserve"> dedicato</w:t>
      </w:r>
      <w:r w:rsidRPr="00E86802">
        <w:t xml:space="preserve"> di alternanza scuola-lavoro; </w:t>
      </w:r>
    </w:p>
    <w:p w:rsidR="00814589" w:rsidRPr="00E86802" w:rsidRDefault="00575E7F" w:rsidP="00F65365">
      <w:pPr>
        <w:pStyle w:val="Paragrafoelenco"/>
        <w:numPr>
          <w:ilvl w:val="0"/>
          <w:numId w:val="8"/>
        </w:numPr>
        <w:spacing w:after="120" w:line="0" w:lineRule="atLeast"/>
        <w:jc w:val="both"/>
      </w:pPr>
      <w:r w:rsidRPr="00814589">
        <w:rPr>
          <w:i/>
        </w:rPr>
        <w:t>Quarto livello:</w:t>
      </w:r>
      <w:r w:rsidRPr="00E86802">
        <w:t xml:space="preserve"> Analisi qualitativa sulla rilevazione delle competenze tecniche e trasversali acquisite tramite i percorsi di alternanza scuola-lavoro presso le dimore storiche</w:t>
      </w:r>
      <w:r w:rsidR="0019104C" w:rsidRPr="00E86802">
        <w:t xml:space="preserve"> campione</w:t>
      </w:r>
      <w:r w:rsidRPr="00E86802">
        <w:t xml:space="preserve">. </w:t>
      </w:r>
    </w:p>
    <w:p w:rsidR="00E726CD" w:rsidRDefault="00E726CD" w:rsidP="00E86802">
      <w:pPr>
        <w:spacing w:after="120" w:line="0" w:lineRule="atLeast"/>
        <w:jc w:val="both"/>
        <w:rPr>
          <w:b/>
        </w:rPr>
      </w:pPr>
    </w:p>
    <w:p w:rsidR="00F504E3" w:rsidRDefault="00636668" w:rsidP="00E86802">
      <w:pPr>
        <w:spacing w:after="120" w:line="0" w:lineRule="atLeast"/>
        <w:jc w:val="both"/>
        <w:rPr>
          <w:b/>
        </w:rPr>
      </w:pPr>
      <w:r w:rsidRPr="00E86802">
        <w:rPr>
          <w:b/>
        </w:rPr>
        <w:t xml:space="preserve">3 </w:t>
      </w:r>
      <w:r w:rsidR="006D7436" w:rsidRPr="00E86802">
        <w:rPr>
          <w:b/>
        </w:rPr>
        <w:t xml:space="preserve">Primi risultati emersi </w:t>
      </w:r>
    </w:p>
    <w:p w:rsidR="00C72BBA" w:rsidRPr="00E86802" w:rsidRDefault="00C72BBA" w:rsidP="00E86802">
      <w:pPr>
        <w:spacing w:after="120" w:line="0" w:lineRule="atLeast"/>
        <w:jc w:val="both"/>
        <w:rPr>
          <w:b/>
        </w:rPr>
      </w:pPr>
    </w:p>
    <w:p w:rsidR="00636668" w:rsidRPr="00E86802" w:rsidRDefault="00636668" w:rsidP="00E86802">
      <w:pPr>
        <w:spacing w:after="120" w:line="0" w:lineRule="atLeast"/>
        <w:jc w:val="both"/>
        <w:rPr>
          <w:i/>
        </w:rPr>
      </w:pPr>
      <w:r w:rsidRPr="00E86802">
        <w:rPr>
          <w:i/>
        </w:rPr>
        <w:t>3.1 Primo livello di indagine</w:t>
      </w:r>
    </w:p>
    <w:p w:rsidR="00E86802" w:rsidRDefault="006D7436" w:rsidP="00E86802">
      <w:pPr>
        <w:spacing w:after="120" w:line="0" w:lineRule="atLeast"/>
        <w:jc w:val="both"/>
      </w:pPr>
      <w:r w:rsidRPr="00E86802">
        <w:t>Come illustrato nella metodologia</w:t>
      </w:r>
      <w:r w:rsidR="005B2611" w:rsidRPr="00E86802">
        <w:t>,</w:t>
      </w:r>
      <w:r w:rsidRPr="00E86802">
        <w:t xml:space="preserve"> il primo livello di indagine ha riguardato la </w:t>
      </w:r>
      <w:r w:rsidR="0019104C" w:rsidRPr="00E86802">
        <w:t xml:space="preserve">identificazione e la </w:t>
      </w:r>
      <w:r w:rsidRPr="00E86802">
        <w:t>mappatura delle dimore storiche associ</w:t>
      </w:r>
      <w:r w:rsidR="0019104C" w:rsidRPr="00E86802">
        <w:t xml:space="preserve">ate ADSI della Regione Toscana. L’identificazione è avvenuta facendo ricorso al </w:t>
      </w:r>
      <w:r w:rsidRPr="00E86802">
        <w:t xml:space="preserve">portale “dimorestoricheitaliane.it” </w:t>
      </w:r>
      <w:r w:rsidR="0019104C" w:rsidRPr="00E86802">
        <w:t xml:space="preserve">e al successivo accesso ai portali gestiti dalle singole dimore storiche dove presenti. </w:t>
      </w:r>
      <w:r w:rsidR="00FE355D" w:rsidRPr="00E86802">
        <w:t>Successivamente si è provveduto a mappare le singole aree provinciali</w:t>
      </w:r>
      <w:r w:rsidRPr="00E86802">
        <w:t xml:space="preserve">. </w:t>
      </w:r>
    </w:p>
    <w:p w:rsidR="00C72BBA" w:rsidRDefault="00C72BBA" w:rsidP="00814589">
      <w:pPr>
        <w:spacing w:after="120" w:line="0" w:lineRule="atLeast"/>
        <w:jc w:val="center"/>
        <w:rPr>
          <w:i/>
        </w:rPr>
      </w:pPr>
    </w:p>
    <w:p w:rsidR="00C72BBA" w:rsidRDefault="00C72BBA" w:rsidP="00814589">
      <w:pPr>
        <w:spacing w:after="120" w:line="0" w:lineRule="atLeast"/>
        <w:jc w:val="center"/>
        <w:rPr>
          <w:i/>
        </w:rPr>
      </w:pPr>
    </w:p>
    <w:p w:rsidR="00C72BBA" w:rsidRDefault="00C72BBA" w:rsidP="00814589">
      <w:pPr>
        <w:spacing w:after="120" w:line="0" w:lineRule="atLeast"/>
        <w:jc w:val="center"/>
        <w:rPr>
          <w:i/>
        </w:rPr>
      </w:pPr>
    </w:p>
    <w:p w:rsidR="00C72BBA" w:rsidRDefault="00C72BBA" w:rsidP="00814589">
      <w:pPr>
        <w:spacing w:after="120" w:line="0" w:lineRule="atLeast"/>
        <w:jc w:val="center"/>
        <w:rPr>
          <w:i/>
        </w:rPr>
      </w:pPr>
    </w:p>
    <w:p w:rsidR="00C72BBA" w:rsidRDefault="00C72BBA" w:rsidP="00814589">
      <w:pPr>
        <w:spacing w:after="120" w:line="0" w:lineRule="atLeast"/>
        <w:jc w:val="center"/>
        <w:rPr>
          <w:i/>
        </w:rPr>
      </w:pPr>
    </w:p>
    <w:p w:rsidR="00E726CD" w:rsidRDefault="00E726CD" w:rsidP="00814589">
      <w:pPr>
        <w:spacing w:after="120" w:line="0" w:lineRule="atLeast"/>
        <w:jc w:val="center"/>
        <w:rPr>
          <w:i/>
        </w:rPr>
      </w:pPr>
    </w:p>
    <w:p w:rsidR="00C72BBA" w:rsidRDefault="00C72BBA" w:rsidP="00814589">
      <w:pPr>
        <w:spacing w:after="120" w:line="0" w:lineRule="atLeast"/>
        <w:jc w:val="center"/>
        <w:rPr>
          <w:i/>
        </w:rPr>
      </w:pPr>
    </w:p>
    <w:p w:rsidR="00F24556" w:rsidRPr="00E86802" w:rsidRDefault="00F24556" w:rsidP="00814589">
      <w:pPr>
        <w:spacing w:after="120" w:line="0" w:lineRule="atLeast"/>
        <w:jc w:val="center"/>
      </w:pPr>
      <w:r w:rsidRPr="00E86802">
        <w:rPr>
          <w:i/>
        </w:rPr>
        <w:lastRenderedPageBreak/>
        <w:t>Figura 1 “Campione Dimore Storiche in Toscana”</w:t>
      </w:r>
    </w:p>
    <w:p w:rsidR="006D7436" w:rsidRPr="00E86802" w:rsidRDefault="006D7436" w:rsidP="00E86802">
      <w:pPr>
        <w:spacing w:after="120" w:line="0" w:lineRule="atLeast"/>
        <w:jc w:val="center"/>
      </w:pPr>
      <w:r w:rsidRPr="00E86802">
        <w:rPr>
          <w:noProof/>
        </w:rPr>
        <w:drawing>
          <wp:inline distT="0" distB="0" distL="0" distR="0">
            <wp:extent cx="4912360" cy="2628900"/>
            <wp:effectExtent l="19050" t="0" r="21590" b="0"/>
            <wp:docPr id="1" name="Gra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24556" w:rsidRPr="00E86802" w:rsidRDefault="00F24556" w:rsidP="00E86802">
      <w:pPr>
        <w:spacing w:after="120" w:line="0" w:lineRule="atLeast"/>
        <w:jc w:val="center"/>
        <w:rPr>
          <w:i/>
        </w:rPr>
      </w:pPr>
      <w:r w:rsidRPr="00E86802">
        <w:rPr>
          <w:i/>
        </w:rPr>
        <w:t>Fonte ADSI (www-dimorestoricheitaliane.it) – SBAP (</w:t>
      </w:r>
      <w:r w:rsidRPr="003745BF">
        <w:rPr>
          <w:i/>
        </w:rPr>
        <w:t>www.sbap-fi.beniculturali.it</w:t>
      </w:r>
      <w:r w:rsidRPr="00E86802">
        <w:rPr>
          <w:i/>
        </w:rPr>
        <w:t>)</w:t>
      </w:r>
    </w:p>
    <w:p w:rsidR="00F24556" w:rsidRPr="00E86802" w:rsidRDefault="00F24556" w:rsidP="00E86802">
      <w:pPr>
        <w:spacing w:after="120" w:line="0" w:lineRule="atLeast"/>
        <w:jc w:val="both"/>
      </w:pPr>
      <w:r w:rsidRPr="00E86802">
        <w:t xml:space="preserve">Sulla base dei dati del Portale ADSI, la figura 1 evidenzia la ripartizione delle 98 dimore storiche </w:t>
      </w:r>
      <w:r w:rsidR="005B2611" w:rsidRPr="00E86802">
        <w:t xml:space="preserve">delle provincie </w:t>
      </w:r>
      <w:r w:rsidRPr="00E86802">
        <w:t>toscane oggetto dell’indagine.</w:t>
      </w:r>
      <w:r w:rsidR="00964819" w:rsidRPr="00E86802">
        <w:t xml:space="preserve"> </w:t>
      </w:r>
      <w:r w:rsidRPr="00E86802">
        <w:t xml:space="preserve"> I territori di Firenze, Siena e Lucca</w:t>
      </w:r>
      <w:r w:rsidR="0019104C" w:rsidRPr="00E86802">
        <w:t xml:space="preserve"> (colonnine nere nella figura)</w:t>
      </w:r>
      <w:r w:rsidRPr="00E86802">
        <w:t xml:space="preserve"> </w:t>
      </w:r>
      <w:r w:rsidR="00FE355D" w:rsidRPr="00E86802">
        <w:t xml:space="preserve">sono quelli maggiormente rappresentati in questa rilevazione rispettivamente con il 33% (Firenze), 27% (Siena) e 14% (Lucca). </w:t>
      </w:r>
      <w:r w:rsidR="00FF3C74">
        <w:t>In relazione al numero complessivo delle dimore storiche associate ad A</w:t>
      </w:r>
      <w:r w:rsidR="00625ED0">
        <w:t>DSI</w:t>
      </w:r>
      <w:r w:rsidR="00FF3C74">
        <w:t xml:space="preserve"> in Toscana, il campione preso in esame rappresenta quasi il 14% dell’Universo di riferimento e </w:t>
      </w:r>
      <w:r w:rsidR="0085687E">
        <w:t xml:space="preserve">dunque è </w:t>
      </w:r>
      <w:r w:rsidR="00FE355D" w:rsidRPr="00E86802">
        <w:t>possibile concludere che tale mappatura possa rappresentare un valido campione rappresentativo della realtà toscana.</w:t>
      </w:r>
    </w:p>
    <w:p w:rsidR="00636668" w:rsidRPr="00E86802" w:rsidRDefault="00636668" w:rsidP="00E86802">
      <w:pPr>
        <w:spacing w:after="120" w:line="0" w:lineRule="atLeast"/>
        <w:jc w:val="both"/>
        <w:rPr>
          <w:i/>
        </w:rPr>
      </w:pPr>
      <w:r w:rsidRPr="00E86802">
        <w:rPr>
          <w:i/>
        </w:rPr>
        <w:t>3.2. Secondo livello di indagine</w:t>
      </w:r>
    </w:p>
    <w:p w:rsidR="00832BE3" w:rsidRPr="00E86802" w:rsidRDefault="00964819" w:rsidP="00E86802">
      <w:pPr>
        <w:spacing w:after="120" w:line="0" w:lineRule="atLeast"/>
        <w:jc w:val="both"/>
      </w:pPr>
      <w:r w:rsidRPr="00E86802">
        <w:t xml:space="preserve">Una volta predisposta la mappatura delle dimore storiche toscane, il secondo livello d’indagine ha riguardato l’individuazione dei principali servizi offerti </w:t>
      </w:r>
      <w:r w:rsidR="00792253" w:rsidRPr="00E86802">
        <w:t xml:space="preserve">internamente </w:t>
      </w:r>
      <w:r w:rsidRPr="00E86802">
        <w:t>dalle 98 strutture</w:t>
      </w:r>
      <w:r w:rsidR="00FE355D" w:rsidRPr="00E86802">
        <w:t xml:space="preserve"> esaminate</w:t>
      </w:r>
      <w:r w:rsidR="00792253" w:rsidRPr="00E86802">
        <w:t xml:space="preserve">. </w:t>
      </w:r>
      <w:r w:rsidR="00E45252" w:rsidRPr="00E86802">
        <w:t xml:space="preserve">Ne è emerso un panorama di attività assolutamente interessante e variegato, che, a fini semplificatori, è stato raggruppato in sette macro-categorie, tra le quali: </w:t>
      </w:r>
    </w:p>
    <w:p w:rsidR="00E45252" w:rsidRPr="00E86802" w:rsidRDefault="00E45252" w:rsidP="00E86802">
      <w:pPr>
        <w:pStyle w:val="Paragrafoelenco"/>
        <w:numPr>
          <w:ilvl w:val="0"/>
          <w:numId w:val="7"/>
        </w:numPr>
        <w:spacing w:after="120" w:line="0" w:lineRule="atLeast"/>
        <w:jc w:val="both"/>
      </w:pPr>
      <w:r w:rsidRPr="00E86802">
        <w:rPr>
          <w:i/>
        </w:rPr>
        <w:t>Ristorazione:</w:t>
      </w:r>
      <w:r w:rsidRPr="00E86802">
        <w:t xml:space="preserve"> comprende tutte le attività legate alla produzione e distribuzione di pasti per la clientela, comprensive di quelle su scala industriale e di catering; </w:t>
      </w:r>
    </w:p>
    <w:p w:rsidR="00E45252" w:rsidRPr="00E86802" w:rsidRDefault="00E45252" w:rsidP="00E86802">
      <w:pPr>
        <w:pStyle w:val="Paragrafoelenco"/>
        <w:numPr>
          <w:ilvl w:val="0"/>
          <w:numId w:val="7"/>
        </w:numPr>
        <w:spacing w:after="120" w:line="0" w:lineRule="atLeast"/>
        <w:jc w:val="both"/>
      </w:pPr>
      <w:r w:rsidRPr="00E86802">
        <w:rPr>
          <w:i/>
        </w:rPr>
        <w:t>Organizzazione eventi:</w:t>
      </w:r>
      <w:r w:rsidRPr="00E86802">
        <w:t xml:space="preserve"> rappresenta la molteplicità di funzioni e criteri di gestione necessari per la produzione e creazione di eventi di diversa tipologia (commerciale, aziendale, culturale, celebrativo);</w:t>
      </w:r>
    </w:p>
    <w:p w:rsidR="00E45252" w:rsidRPr="00E86802" w:rsidRDefault="00E45252" w:rsidP="00E86802">
      <w:pPr>
        <w:pStyle w:val="Paragrafoelenco"/>
        <w:numPr>
          <w:ilvl w:val="0"/>
          <w:numId w:val="7"/>
        </w:numPr>
        <w:spacing w:after="120" w:line="0" w:lineRule="atLeast"/>
        <w:jc w:val="both"/>
      </w:pPr>
      <w:r w:rsidRPr="00E86802">
        <w:rPr>
          <w:i/>
        </w:rPr>
        <w:t>Hospitality:</w:t>
      </w:r>
      <w:r w:rsidRPr="00E86802">
        <w:t xml:space="preserve"> rappresenta l’insieme delle modalità e delle regole utili all’accoglienza e all’interazione con gli ospiti, nonché al rispetto e alla cura delle loro esigenze;</w:t>
      </w:r>
    </w:p>
    <w:p w:rsidR="00E45252" w:rsidRPr="00E86802" w:rsidRDefault="00E45252" w:rsidP="00E86802">
      <w:pPr>
        <w:pStyle w:val="Paragrafoelenco"/>
        <w:numPr>
          <w:ilvl w:val="0"/>
          <w:numId w:val="7"/>
        </w:numPr>
        <w:spacing w:after="120" w:line="0" w:lineRule="atLeast"/>
        <w:jc w:val="both"/>
      </w:pPr>
      <w:r w:rsidRPr="00E86802">
        <w:rPr>
          <w:i/>
        </w:rPr>
        <w:t>Storytelling:</w:t>
      </w:r>
      <w:r w:rsidRPr="00E86802">
        <w:t xml:space="preserve"> rappresenta l’attività di organizzazione di visite della location e di siti adiacenti, comprendendo la narrazione di informazioni ad essi correlati, a seguito di un vasto assortimento di strumenti cartacei, digitali ed esperienziali;</w:t>
      </w:r>
    </w:p>
    <w:p w:rsidR="007870DF" w:rsidRPr="00E86802" w:rsidRDefault="00E45252" w:rsidP="00E86802">
      <w:pPr>
        <w:pStyle w:val="Paragrafoelenco"/>
        <w:numPr>
          <w:ilvl w:val="0"/>
          <w:numId w:val="7"/>
        </w:numPr>
        <w:spacing w:after="120" w:line="0" w:lineRule="atLeast"/>
        <w:jc w:val="both"/>
      </w:pPr>
      <w:r w:rsidRPr="00E86802">
        <w:rPr>
          <w:i/>
        </w:rPr>
        <w:t>Turismo eco-sostenibile:</w:t>
      </w:r>
      <w:r w:rsidRPr="00E86802">
        <w:t xml:space="preserve"> comprende l’insieme delle attività volte alla cura dell’ambiente circostante, integrando le risorse </w:t>
      </w:r>
      <w:r w:rsidR="007870DF" w:rsidRPr="00E86802">
        <w:t xml:space="preserve">disponibili con tutte le necessità sia economiche che sociali, cercando di soddisfare i bisogni dei turisti nel rispetto dell’ambiente circostante; </w:t>
      </w:r>
    </w:p>
    <w:p w:rsidR="00E45252" w:rsidRPr="00E86802" w:rsidRDefault="007870DF" w:rsidP="00E86802">
      <w:pPr>
        <w:pStyle w:val="Paragrafoelenco"/>
        <w:numPr>
          <w:ilvl w:val="0"/>
          <w:numId w:val="7"/>
        </w:numPr>
        <w:spacing w:after="120" w:line="0" w:lineRule="atLeast"/>
        <w:jc w:val="both"/>
      </w:pPr>
      <w:r w:rsidRPr="00E86802">
        <w:rPr>
          <w:i/>
        </w:rPr>
        <w:t>Turismo esperienziale:</w:t>
      </w:r>
      <w:r w:rsidRPr="00E86802">
        <w:t xml:space="preserve"> comprende tutte quelle attività che, generando un vasto assortimento di strumenti cartacei, digitali e relazionali applicabili a diverse aree o funzioni, consentono al visitatore di poter beneficiare, sia visivamente che materialmente, di un’esperienza turistica unica, autentica e personale. </w:t>
      </w:r>
    </w:p>
    <w:p w:rsidR="007870DF" w:rsidRPr="00E86802" w:rsidRDefault="007870DF" w:rsidP="00E86802">
      <w:pPr>
        <w:pStyle w:val="Paragrafoelenco"/>
        <w:numPr>
          <w:ilvl w:val="0"/>
          <w:numId w:val="7"/>
        </w:numPr>
        <w:spacing w:after="120" w:line="0" w:lineRule="atLeast"/>
        <w:jc w:val="both"/>
      </w:pPr>
      <w:r w:rsidRPr="00E86802">
        <w:rPr>
          <w:i/>
        </w:rPr>
        <w:t>Vendita prodotti e artigianato:</w:t>
      </w:r>
      <w:r w:rsidRPr="00E86802">
        <w:t xml:space="preserve"> include tutte le attività necessarie per il supporto nella produzione e nella vendita di prodotti tipici del territorio.</w:t>
      </w:r>
    </w:p>
    <w:p w:rsidR="003C3385" w:rsidRPr="00E86802" w:rsidRDefault="00B74F4F" w:rsidP="00E86802">
      <w:pPr>
        <w:spacing w:after="120" w:line="0" w:lineRule="atLeast"/>
        <w:jc w:val="both"/>
      </w:pPr>
      <w:r w:rsidRPr="00E86802">
        <w:lastRenderedPageBreak/>
        <w:t>Queste sette macro-categorie identificate, quindi, rappresentano la potenziale offerta che le dimore storiche toscane potrebbero garantire</w:t>
      </w:r>
      <w:r w:rsidR="00FF71B8" w:rsidRPr="00E86802">
        <w:t>, aderendo ai percorsi di alternanza scuola-lavoro in qualità di strutture ospitanti.</w:t>
      </w:r>
      <w:r w:rsidR="00D605E4" w:rsidRPr="00E86802">
        <w:t xml:space="preserve"> Il passaggio successivo, rappresentato dalla Figura 2, </w:t>
      </w:r>
      <w:r w:rsidR="005B2611" w:rsidRPr="00E86802">
        <w:t xml:space="preserve">mira ad </w:t>
      </w:r>
      <w:r w:rsidR="00D605E4" w:rsidRPr="00E86802">
        <w:t>esaminare l’effettiva ripartizione di tali servizi a liv</w:t>
      </w:r>
      <w:r w:rsidR="000907DB" w:rsidRPr="00E86802">
        <w:t xml:space="preserve">ello regionale. </w:t>
      </w:r>
    </w:p>
    <w:p w:rsidR="000907DB" w:rsidRPr="00E86802" w:rsidRDefault="000907DB" w:rsidP="00E86802">
      <w:pPr>
        <w:spacing w:after="120" w:line="0" w:lineRule="atLeast"/>
        <w:jc w:val="center"/>
        <w:rPr>
          <w:i/>
        </w:rPr>
      </w:pPr>
      <w:r w:rsidRPr="00E86802">
        <w:rPr>
          <w:i/>
        </w:rPr>
        <w:t xml:space="preserve">Figura 2 “Servizi offerti </w:t>
      </w:r>
      <w:r w:rsidR="00FE355D" w:rsidRPr="00E86802">
        <w:rPr>
          <w:i/>
        </w:rPr>
        <w:t xml:space="preserve">dimore storiche </w:t>
      </w:r>
      <w:r w:rsidRPr="00E86802">
        <w:rPr>
          <w:i/>
        </w:rPr>
        <w:t>ADSI Toscana”</w:t>
      </w:r>
    </w:p>
    <w:p w:rsidR="00791FED" w:rsidRPr="00E86802" w:rsidRDefault="00791FED" w:rsidP="00E86802">
      <w:pPr>
        <w:spacing w:after="120" w:line="0" w:lineRule="atLeast"/>
        <w:jc w:val="center"/>
        <w:rPr>
          <w:i/>
        </w:rPr>
      </w:pPr>
      <w:r w:rsidRPr="00E86802">
        <w:rPr>
          <w:noProof/>
        </w:rPr>
        <w:drawing>
          <wp:inline distT="0" distB="0" distL="0" distR="0">
            <wp:extent cx="5247640" cy="2790825"/>
            <wp:effectExtent l="19050" t="0" r="10160" b="0"/>
            <wp:docPr id="3" name="Gra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91FED" w:rsidRPr="00E86802" w:rsidRDefault="00791FED" w:rsidP="00E86802">
      <w:pPr>
        <w:spacing w:after="120" w:line="0" w:lineRule="atLeast"/>
        <w:jc w:val="both"/>
      </w:pPr>
      <w:r w:rsidRPr="00E86802">
        <w:t xml:space="preserve">Come si può evincere dal grafico, la quasi totalità </w:t>
      </w:r>
      <w:r w:rsidR="00516EBB" w:rsidRPr="00E86802">
        <w:t>delle dimore</w:t>
      </w:r>
      <w:r w:rsidRPr="00E86802">
        <w:t xml:space="preserve"> storiche toscane </w:t>
      </w:r>
      <w:r w:rsidR="00FE355D" w:rsidRPr="00E86802">
        <w:t xml:space="preserve">identificate </w:t>
      </w:r>
      <w:r w:rsidRPr="00E86802">
        <w:t>oggetto dell’indagine svolg</w:t>
      </w:r>
      <w:r w:rsidR="00E726CD">
        <w:t>e</w:t>
      </w:r>
      <w:r w:rsidRPr="00E86802">
        <w:t xml:space="preserve"> </w:t>
      </w:r>
      <w:r w:rsidR="00AB6EE0" w:rsidRPr="00E86802">
        <w:t>attività legate</w:t>
      </w:r>
      <w:r w:rsidRPr="00E86802">
        <w:t xml:space="preserve"> allo </w:t>
      </w:r>
      <w:r w:rsidRPr="00E86802">
        <w:rPr>
          <w:i/>
        </w:rPr>
        <w:t>storytelling</w:t>
      </w:r>
      <w:r w:rsidRPr="00E86802">
        <w:t xml:space="preserve">, al </w:t>
      </w:r>
      <w:r w:rsidRPr="00E86802">
        <w:rPr>
          <w:i/>
        </w:rPr>
        <w:t>turismo eco-sostenibile</w:t>
      </w:r>
      <w:r w:rsidRPr="00E86802">
        <w:t xml:space="preserve"> ed </w:t>
      </w:r>
      <w:r w:rsidRPr="00E86802">
        <w:rPr>
          <w:i/>
        </w:rPr>
        <w:t>esperienziale</w:t>
      </w:r>
      <w:r w:rsidR="00FE355D" w:rsidRPr="00E86802">
        <w:rPr>
          <w:i/>
        </w:rPr>
        <w:t xml:space="preserve"> (colonnine nere)</w:t>
      </w:r>
      <w:r w:rsidRPr="00E86802">
        <w:t xml:space="preserve">. Un’ampia offerta di servizi che potrebbe essere maggiormente valorizzata mediante la promozione di percorsi di alternanza scuola-lavoro volti alla creazione di professionalità specifiche in tali settori. Altrettanto interessante è la percentuale relativa alla macro-categoria </w:t>
      </w:r>
      <w:r w:rsidRPr="00E86802">
        <w:rPr>
          <w:i/>
        </w:rPr>
        <w:t>organizzazione eventi</w:t>
      </w:r>
      <w:r w:rsidRPr="00E86802">
        <w:t xml:space="preserve">, </w:t>
      </w:r>
      <w:r w:rsidR="00AB6EE0" w:rsidRPr="00E86802">
        <w:t xml:space="preserve">considerando che oltre 80% delle dimore storiche selezionate ospita convegni, conferenze e meeting, nonché è impegnata nel settore del wedding planning. Anche in </w:t>
      </w:r>
      <w:r w:rsidR="00FE355D" w:rsidRPr="00E86802">
        <w:t>questo caso, si tratta di bacini</w:t>
      </w:r>
      <w:r w:rsidR="00AB6EE0" w:rsidRPr="00E86802">
        <w:t xml:space="preserve"> </w:t>
      </w:r>
      <w:r w:rsidR="009515D9" w:rsidRPr="00E86802">
        <w:t>occupazionali</w:t>
      </w:r>
      <w:r w:rsidR="00AB6EE0" w:rsidRPr="00E86802">
        <w:t xml:space="preserve"> fortemente in crescita, che p</w:t>
      </w:r>
      <w:r w:rsidR="009515D9" w:rsidRPr="00E86802">
        <w:t xml:space="preserve">otrebbero </w:t>
      </w:r>
      <w:r w:rsidR="00FE355D" w:rsidRPr="00E86802">
        <w:t xml:space="preserve">attrarre </w:t>
      </w:r>
      <w:r w:rsidR="009515D9" w:rsidRPr="00E86802">
        <w:t>studenti provenienti sia dal ramo tecni</w:t>
      </w:r>
      <w:r w:rsidR="00505F06" w:rsidRPr="00E86802">
        <w:t>co-professionale sia dai licei. Relativamente alle altre tre macro-categorie, mentre l’</w:t>
      </w:r>
      <w:r w:rsidR="00505F06" w:rsidRPr="00E86802">
        <w:rPr>
          <w:i/>
        </w:rPr>
        <w:t>hospitality</w:t>
      </w:r>
      <w:r w:rsidR="00505F06" w:rsidRPr="00E86802">
        <w:t xml:space="preserve"> presenta una certa uniformità tra le varie provincie toscane (in media più delle metà delle dimore storiche </w:t>
      </w:r>
      <w:r w:rsidR="00FE355D" w:rsidRPr="00E86802">
        <w:t xml:space="preserve">del campione </w:t>
      </w:r>
      <w:r w:rsidR="00505F06" w:rsidRPr="00E86802">
        <w:t>hanno strutture specifiche per il front-office), le attività rientranti nell’</w:t>
      </w:r>
      <w:r w:rsidR="00505F06" w:rsidRPr="00E86802">
        <w:rPr>
          <w:i/>
        </w:rPr>
        <w:t>artigianato</w:t>
      </w:r>
      <w:r w:rsidR="00505F06" w:rsidRPr="00E86802">
        <w:t xml:space="preserve"> e </w:t>
      </w:r>
      <w:r w:rsidR="00505F06" w:rsidRPr="00E86802">
        <w:rPr>
          <w:i/>
        </w:rPr>
        <w:t xml:space="preserve">ristorazione </w:t>
      </w:r>
      <w:r w:rsidR="00505F06" w:rsidRPr="00E86802">
        <w:t>evidenziano delle divergenze a livello sub-r</w:t>
      </w:r>
      <w:r w:rsidR="00107721" w:rsidRPr="00E86802">
        <w:t xml:space="preserve">egionale. Si rilevano, infatti, percentuali sopra le medie regionali, pari al 42% per i servizi artigianali e del 43% per la ristorazione, </w:t>
      </w:r>
      <w:r w:rsidR="00937C9C" w:rsidRPr="00E86802">
        <w:t xml:space="preserve">nei </w:t>
      </w:r>
      <w:r w:rsidR="00107721" w:rsidRPr="00E86802">
        <w:t xml:space="preserve">territori di </w:t>
      </w:r>
      <w:r w:rsidR="00937C9C" w:rsidRPr="00E86802">
        <w:t xml:space="preserve">Arezzo (57% artigianato), </w:t>
      </w:r>
      <w:r w:rsidR="00107721" w:rsidRPr="00E86802">
        <w:t xml:space="preserve">Firenze (53% artigianato; 56% ristorazione), </w:t>
      </w:r>
      <w:r w:rsidR="00937C9C" w:rsidRPr="00E86802">
        <w:t xml:space="preserve">Massa- Carrara (60% artigianato), Pisa (50% artigianato) e Siena (50% ristorazione). </w:t>
      </w:r>
    </w:p>
    <w:p w:rsidR="00937C9C" w:rsidRPr="00E86802" w:rsidRDefault="00636668" w:rsidP="00E86802">
      <w:pPr>
        <w:spacing w:after="120" w:line="0" w:lineRule="atLeast"/>
        <w:jc w:val="both"/>
        <w:rPr>
          <w:i/>
        </w:rPr>
      </w:pPr>
      <w:r w:rsidRPr="00E86802">
        <w:rPr>
          <w:i/>
        </w:rPr>
        <w:t>3.3. Terzo livello di indagine</w:t>
      </w:r>
    </w:p>
    <w:p w:rsidR="000B7E50" w:rsidRPr="00E86802" w:rsidRDefault="00636668" w:rsidP="00E86802">
      <w:pPr>
        <w:spacing w:after="120" w:line="0" w:lineRule="atLeast"/>
        <w:jc w:val="both"/>
      </w:pPr>
      <w:r w:rsidRPr="00E86802">
        <w:t>Fino a questo momento, l’analisi è stata limitata soltanto alla mappatura delle 98 dimore storiche e dei loro servizi offerti a livello regionale e provinciale. L’indagine, tuttavia, si pone l’</w:t>
      </w:r>
      <w:r w:rsidR="00486AB7" w:rsidRPr="00E86802">
        <w:t xml:space="preserve">obiettivo di andare oltre al </w:t>
      </w:r>
      <w:r w:rsidRPr="00E86802">
        <w:t>mero studio</w:t>
      </w:r>
      <w:r w:rsidR="000B7E50" w:rsidRPr="00E86802">
        <w:t xml:space="preserve"> del vivace comparto delle dimore storiche toscane con attività di impresa</w:t>
      </w:r>
      <w:r w:rsidRPr="00E86802">
        <w:t xml:space="preserve">, volendo, invece, rappresentare una prima occasione di riflessione sul potenziale contributo che l’alternanza scuola-lavoro potrebbe garantire ai fini della loro promozione e valorizzazione. </w:t>
      </w:r>
      <w:r w:rsidR="007B64AF" w:rsidRPr="00E86802">
        <w:t>Questo terzo livello, quindi, è volto ad esaminare a livello quantitativo l’effettivo match tra il lato dell’offerta, rappresentata dalla mappatura dei servizi delle dimore storiche toscane</w:t>
      </w:r>
      <w:r w:rsidR="00486AB7" w:rsidRPr="00E86802">
        <w:t xml:space="preserve"> (v. Figura 2)</w:t>
      </w:r>
      <w:r w:rsidR="007B64AF" w:rsidRPr="00E86802">
        <w:t>, e quello della domanda</w:t>
      </w:r>
      <w:r w:rsidR="000B7E50" w:rsidRPr="00E86802">
        <w:t xml:space="preserve"> (quantitativa e qualitativa)</w:t>
      </w:r>
      <w:r w:rsidR="007B64AF" w:rsidRPr="00E86802">
        <w:t xml:space="preserve">, costituito dal numero di studenti </w:t>
      </w:r>
      <w:r w:rsidR="00486AB7" w:rsidRPr="00E86802">
        <w:t xml:space="preserve">dell’ultimo triennio </w:t>
      </w:r>
      <w:r w:rsidR="007B64AF" w:rsidRPr="00E86802">
        <w:t xml:space="preserve">partecipanti ai percorsi di </w:t>
      </w:r>
      <w:r w:rsidR="009C0759" w:rsidRPr="00E86802">
        <w:t xml:space="preserve">alternanza scuola-lavoro. </w:t>
      </w:r>
    </w:p>
    <w:p w:rsidR="007B64AF" w:rsidRPr="00E86802" w:rsidRDefault="00486AB7" w:rsidP="00E86802">
      <w:pPr>
        <w:spacing w:after="120" w:line="0" w:lineRule="atLeast"/>
        <w:jc w:val="both"/>
      </w:pPr>
      <w:r w:rsidRPr="00E86802">
        <w:t xml:space="preserve">Con riferimento a questa seconda componente, si è deciso di promuovere una strategia d’indagine di medio-lungo periodo, non focalizzata al prossimo anno scolastico 2016-2017 e alle sole classi terze e </w:t>
      </w:r>
      <w:r w:rsidRPr="00E86802">
        <w:lastRenderedPageBreak/>
        <w:t xml:space="preserve">quarte, ma direttamente al 2017/2018, quando l’alternanza scuola-lavoro diventerà obbligatoria per tutti gli studenti iscritti all’ultimo triennio. Sono stati, quindi, </w:t>
      </w:r>
      <w:r w:rsidR="000B7E50" w:rsidRPr="00E86802">
        <w:t xml:space="preserve">presi in considerazione </w:t>
      </w:r>
      <w:r w:rsidRPr="00E86802">
        <w:t xml:space="preserve">i seguenti dati: </w:t>
      </w:r>
    </w:p>
    <w:p w:rsidR="002A14D2" w:rsidRPr="00E86802" w:rsidRDefault="00486AB7" w:rsidP="00E86802">
      <w:pPr>
        <w:pStyle w:val="Paragrafoelenco"/>
        <w:numPr>
          <w:ilvl w:val="0"/>
          <w:numId w:val="6"/>
        </w:numPr>
        <w:spacing w:after="120" w:line="0" w:lineRule="atLeast"/>
        <w:jc w:val="both"/>
      </w:pPr>
      <w:r w:rsidRPr="00E86802">
        <w:t>Gli studenti toscani degli istituti secondari di secondo grado</w:t>
      </w:r>
      <w:r w:rsidR="005B2611" w:rsidRPr="00E86802">
        <w:t>,</w:t>
      </w:r>
      <w:r w:rsidRPr="00E86802">
        <w:t xml:space="preserve"> che hanno frequentato il tri</w:t>
      </w:r>
      <w:r w:rsidR="002A14D2" w:rsidRPr="00E86802">
        <w:t>ennio durante l’a.s. 2015/2016, in un orizzonte 2017/2018 e suddivisi a livello sub-regionale. Il totale è pari a 88</w:t>
      </w:r>
      <w:r w:rsidR="0085687E">
        <w:t>.</w:t>
      </w:r>
      <w:r w:rsidR="002A14D2" w:rsidRPr="00E86802">
        <w:t xml:space="preserve">460. </w:t>
      </w:r>
    </w:p>
    <w:p w:rsidR="00486AB7" w:rsidRPr="00E86802" w:rsidRDefault="002A14D2" w:rsidP="00E86802">
      <w:pPr>
        <w:pStyle w:val="Paragrafoelenco"/>
        <w:numPr>
          <w:ilvl w:val="0"/>
          <w:numId w:val="6"/>
        </w:numPr>
        <w:spacing w:after="120" w:line="0" w:lineRule="atLeast"/>
        <w:jc w:val="both"/>
      </w:pPr>
      <w:r w:rsidRPr="00E86802">
        <w:t xml:space="preserve">N° dimore storiche ADSI in Toscana (v. Figura 1). Come già evidenziato nella mappatura, il totale delle dimore storiche oggetto dell’indagine è pari a 98. </w:t>
      </w:r>
    </w:p>
    <w:p w:rsidR="001234FA" w:rsidRPr="00E86802" w:rsidRDefault="001234FA" w:rsidP="00E86802">
      <w:pPr>
        <w:spacing w:after="120" w:line="0" w:lineRule="atLeast"/>
        <w:jc w:val="both"/>
      </w:pPr>
      <w:r w:rsidRPr="00E86802">
        <w:t>Tenendo conto dell’ampia varietà di servizi offerti (</w:t>
      </w:r>
      <w:r w:rsidRPr="00E86802">
        <w:rPr>
          <w:i/>
        </w:rPr>
        <w:t>Ristorazione, Organizzazione Eventi, Hospitality, Storytelling, Turismo eco-sostenibile, Turismo esperienziale e Artigianato</w:t>
      </w:r>
      <w:r w:rsidRPr="00E86802">
        <w:t>), si è ipotizzata</w:t>
      </w:r>
      <w:r w:rsidR="000B7E50" w:rsidRPr="00E86802">
        <w:t xml:space="preserve">, a </w:t>
      </w:r>
      <w:r w:rsidR="00516EBB" w:rsidRPr="00E86802">
        <w:t>regime, una</w:t>
      </w:r>
      <w:r w:rsidRPr="00E86802">
        <w:t xml:space="preserve"> media di 30 studenti per dimora storica, di cui 10 del terzo anno, 10 del quarto e 10 dell’ultimo. </w:t>
      </w:r>
    </w:p>
    <w:p w:rsidR="00C72BBA" w:rsidRDefault="00C72BBA" w:rsidP="00E86802">
      <w:pPr>
        <w:spacing w:after="120" w:line="0" w:lineRule="atLeast"/>
        <w:contextualSpacing/>
        <w:rPr>
          <w:i/>
        </w:rPr>
      </w:pPr>
    </w:p>
    <w:p w:rsidR="001234FA" w:rsidRPr="00E86802" w:rsidRDefault="0085687E" w:rsidP="00E86802">
      <w:pPr>
        <w:spacing w:after="120" w:line="0" w:lineRule="atLeast"/>
        <w:contextualSpacing/>
        <w:rPr>
          <w:i/>
        </w:rPr>
      </w:pPr>
      <w:r>
        <w:rPr>
          <w:i/>
        </w:rPr>
        <w:t>Tabella 1</w:t>
      </w:r>
      <w:r w:rsidR="00A40AA5" w:rsidRPr="00E86802">
        <w:rPr>
          <w:i/>
        </w:rPr>
        <w:t xml:space="preserve"> “Percentuale degli studenti</w:t>
      </w:r>
      <w:r w:rsidR="000B7E50" w:rsidRPr="00E86802">
        <w:rPr>
          <w:i/>
        </w:rPr>
        <w:t xml:space="preserve"> coinvolgibili nei percorsi con le dimore storiche identificate”</w:t>
      </w:r>
      <w:r w:rsidR="00A40AA5" w:rsidRPr="00E86802">
        <w:rPr>
          <w:i/>
        </w:rPr>
        <w:t xml:space="preserve">. </w:t>
      </w:r>
      <w:r w:rsidR="000B7E50" w:rsidRPr="00E86802">
        <w:rPr>
          <w:i/>
        </w:rPr>
        <w:t xml:space="preserve">Base </w:t>
      </w:r>
      <w:r w:rsidR="00A40AA5" w:rsidRPr="00E86802">
        <w:rPr>
          <w:i/>
        </w:rPr>
        <w:t xml:space="preserve">30 </w:t>
      </w:r>
      <w:r w:rsidR="000B7E50" w:rsidRPr="00E86802">
        <w:rPr>
          <w:i/>
        </w:rPr>
        <w:t xml:space="preserve">studenti </w:t>
      </w:r>
      <w:r w:rsidR="00A40AA5" w:rsidRPr="00E86802">
        <w:rPr>
          <w:i/>
        </w:rPr>
        <w:t>per dimora storica”</w:t>
      </w:r>
      <w:r w:rsidR="000B7E50" w:rsidRPr="00E86802">
        <w:rPr>
          <w:rStyle w:val="Rimandonotaapidipagina"/>
          <w:i/>
        </w:rPr>
        <w:footnoteReference w:id="8"/>
      </w:r>
    </w:p>
    <w:tbl>
      <w:tblPr>
        <w:tblW w:w="3544" w:type="dxa"/>
        <w:jc w:val="center"/>
        <w:tblCellMar>
          <w:left w:w="70" w:type="dxa"/>
          <w:right w:w="70" w:type="dxa"/>
        </w:tblCellMar>
        <w:tblLook w:val="04A0" w:firstRow="1" w:lastRow="0" w:firstColumn="1" w:lastColumn="0" w:noHBand="0" w:noVBand="1"/>
      </w:tblPr>
      <w:tblGrid>
        <w:gridCol w:w="2552"/>
        <w:gridCol w:w="992"/>
      </w:tblGrid>
      <w:tr w:rsidR="00A40AA5" w:rsidRPr="00E86802" w:rsidTr="00814589">
        <w:trPr>
          <w:trHeight w:val="288"/>
          <w:jc w:val="center"/>
        </w:trPr>
        <w:tc>
          <w:tcPr>
            <w:tcW w:w="3544" w:type="dxa"/>
            <w:gridSpan w:val="2"/>
            <w:tcBorders>
              <w:top w:val="nil"/>
              <w:left w:val="nil"/>
              <w:bottom w:val="nil"/>
              <w:right w:val="nil"/>
            </w:tcBorders>
            <w:shd w:val="clear" w:color="auto" w:fill="auto"/>
            <w:noWrap/>
            <w:vAlign w:val="bottom"/>
            <w:hideMark/>
          </w:tcPr>
          <w:p w:rsidR="00A40AA5" w:rsidRPr="00E86802" w:rsidRDefault="00A40AA5" w:rsidP="00814589">
            <w:pPr>
              <w:spacing w:after="120" w:line="0" w:lineRule="atLeast"/>
              <w:rPr>
                <w:rFonts w:eastAsia="Times New Roman" w:cs="Times New Roman"/>
                <w:b/>
                <w:bCs/>
              </w:rPr>
            </w:pPr>
          </w:p>
        </w:tc>
      </w:tr>
      <w:tr w:rsidR="00FD37E3" w:rsidRPr="00E86802" w:rsidTr="00814589">
        <w:trPr>
          <w:trHeight w:val="288"/>
          <w:jc w:val="center"/>
        </w:trPr>
        <w:tc>
          <w:tcPr>
            <w:tcW w:w="2552" w:type="dxa"/>
            <w:tcBorders>
              <w:top w:val="single" w:sz="4" w:space="0" w:color="auto"/>
              <w:left w:val="single" w:sz="4" w:space="0" w:color="auto"/>
              <w:bottom w:val="single" w:sz="4" w:space="0" w:color="auto"/>
              <w:right w:val="single" w:sz="4" w:space="0" w:color="auto"/>
            </w:tcBorders>
            <w:shd w:val="clear" w:color="auto" w:fill="FFC000"/>
            <w:noWrap/>
            <w:vAlign w:val="bottom"/>
          </w:tcPr>
          <w:p w:rsidR="00FD37E3" w:rsidRPr="00E86802" w:rsidRDefault="00FD37E3" w:rsidP="00814589">
            <w:pPr>
              <w:spacing w:after="120" w:line="0" w:lineRule="atLeast"/>
              <w:ind w:firstLineChars="100" w:firstLine="220"/>
              <w:jc w:val="center"/>
              <w:rPr>
                <w:rFonts w:eastAsia="Helvetica,Times New Roman" w:cs="Helvetica,Times New Roman"/>
                <w:b/>
              </w:rPr>
            </w:pPr>
            <w:r w:rsidRPr="00E86802">
              <w:rPr>
                <w:rFonts w:eastAsia="Helvetica,Times New Roman" w:cs="Helvetica,Times New Roman"/>
                <w:b/>
              </w:rPr>
              <w:t>Toscana</w:t>
            </w:r>
          </w:p>
        </w:tc>
        <w:tc>
          <w:tcPr>
            <w:tcW w:w="992" w:type="dxa"/>
            <w:tcBorders>
              <w:top w:val="single" w:sz="4" w:space="0" w:color="auto"/>
              <w:left w:val="nil"/>
              <w:bottom w:val="single" w:sz="4" w:space="0" w:color="auto"/>
              <w:right w:val="single" w:sz="4" w:space="0" w:color="auto"/>
            </w:tcBorders>
            <w:shd w:val="clear" w:color="auto" w:fill="FFC000"/>
            <w:noWrap/>
            <w:vAlign w:val="bottom"/>
          </w:tcPr>
          <w:p w:rsidR="00FD37E3" w:rsidRPr="00E86802" w:rsidRDefault="00FD37E3" w:rsidP="00814589">
            <w:pPr>
              <w:spacing w:after="120" w:line="0" w:lineRule="atLeast"/>
              <w:jc w:val="center"/>
              <w:rPr>
                <w:rFonts w:eastAsia="Times New Roman" w:cs="Times New Roman"/>
                <w:b/>
              </w:rPr>
            </w:pPr>
            <w:r w:rsidRPr="00E86802">
              <w:rPr>
                <w:rFonts w:eastAsia="Times New Roman" w:cs="Times New Roman"/>
                <w:b/>
              </w:rPr>
              <w:t>3,32%</w:t>
            </w:r>
          </w:p>
        </w:tc>
      </w:tr>
      <w:tr w:rsidR="00A40AA5" w:rsidRPr="00E86802" w:rsidTr="00814589">
        <w:trPr>
          <w:trHeight w:val="288"/>
          <w:jc w:val="center"/>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0AA5" w:rsidRPr="00E86802" w:rsidRDefault="00A40AA5" w:rsidP="00814589">
            <w:pPr>
              <w:spacing w:after="120" w:line="0" w:lineRule="atLeast"/>
              <w:ind w:firstLineChars="100" w:firstLine="220"/>
              <w:jc w:val="center"/>
              <w:rPr>
                <w:rFonts w:eastAsia="Times New Roman" w:cs="Times New Roman"/>
              </w:rPr>
            </w:pPr>
            <w:r w:rsidRPr="00E86802">
              <w:rPr>
                <w:rFonts w:eastAsia="Helvetica,Times New Roman" w:cs="Helvetica,Times New Roman"/>
              </w:rPr>
              <w:t>Arezzo</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A40AA5" w:rsidRPr="00E86802" w:rsidRDefault="00FD37E3" w:rsidP="00814589">
            <w:pPr>
              <w:spacing w:after="120" w:line="0" w:lineRule="atLeast"/>
              <w:jc w:val="center"/>
              <w:rPr>
                <w:rFonts w:eastAsia="Times New Roman" w:cs="Times New Roman"/>
              </w:rPr>
            </w:pPr>
            <w:r w:rsidRPr="00E86802">
              <w:rPr>
                <w:rFonts w:eastAsia="Times New Roman" w:cs="Times New Roman"/>
              </w:rPr>
              <w:t>2,29%</w:t>
            </w:r>
          </w:p>
        </w:tc>
      </w:tr>
      <w:tr w:rsidR="00A40AA5" w:rsidRPr="00E86802" w:rsidTr="00814589">
        <w:trPr>
          <w:trHeight w:val="288"/>
          <w:jc w:val="center"/>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A40AA5" w:rsidRPr="00E86802" w:rsidRDefault="00A40AA5" w:rsidP="00814589">
            <w:pPr>
              <w:spacing w:after="120" w:line="0" w:lineRule="atLeast"/>
              <w:ind w:firstLineChars="100" w:firstLine="220"/>
              <w:jc w:val="center"/>
              <w:rPr>
                <w:rFonts w:eastAsia="Times New Roman" w:cs="Times New Roman"/>
              </w:rPr>
            </w:pPr>
            <w:r w:rsidRPr="00E86802">
              <w:rPr>
                <w:rFonts w:eastAsia="Helvetica,Times New Roman" w:cs="Helvetica,Times New Roman"/>
              </w:rPr>
              <w:t>Firenze</w:t>
            </w:r>
          </w:p>
        </w:tc>
        <w:tc>
          <w:tcPr>
            <w:tcW w:w="992" w:type="dxa"/>
            <w:tcBorders>
              <w:top w:val="nil"/>
              <w:left w:val="nil"/>
              <w:bottom w:val="single" w:sz="4" w:space="0" w:color="auto"/>
              <w:right w:val="single" w:sz="4" w:space="0" w:color="auto"/>
            </w:tcBorders>
            <w:shd w:val="clear" w:color="auto" w:fill="auto"/>
            <w:noWrap/>
            <w:vAlign w:val="bottom"/>
            <w:hideMark/>
          </w:tcPr>
          <w:p w:rsidR="00A40AA5" w:rsidRPr="00E86802" w:rsidRDefault="00FD37E3" w:rsidP="00814589">
            <w:pPr>
              <w:spacing w:after="120" w:line="0" w:lineRule="atLeast"/>
              <w:jc w:val="center"/>
              <w:rPr>
                <w:rFonts w:eastAsia="Times New Roman" w:cs="Times New Roman"/>
              </w:rPr>
            </w:pPr>
            <w:r w:rsidRPr="00E86802">
              <w:rPr>
                <w:rFonts w:eastAsia="Times New Roman" w:cs="Times New Roman"/>
              </w:rPr>
              <w:t>4,15%</w:t>
            </w:r>
          </w:p>
        </w:tc>
      </w:tr>
      <w:tr w:rsidR="00A40AA5" w:rsidRPr="00E86802" w:rsidTr="00814589">
        <w:trPr>
          <w:trHeight w:val="288"/>
          <w:jc w:val="center"/>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A40AA5" w:rsidRPr="00E86802" w:rsidRDefault="00A40AA5" w:rsidP="00814589">
            <w:pPr>
              <w:spacing w:after="120" w:line="0" w:lineRule="atLeast"/>
              <w:ind w:firstLineChars="100" w:firstLine="220"/>
              <w:jc w:val="center"/>
              <w:rPr>
                <w:rFonts w:eastAsia="Times New Roman" w:cs="Times New Roman"/>
              </w:rPr>
            </w:pPr>
            <w:r w:rsidRPr="00E86802">
              <w:rPr>
                <w:rFonts w:eastAsia="Helvetica,Times New Roman" w:cs="Helvetica,Times New Roman"/>
              </w:rPr>
              <w:t>Grosseto</w:t>
            </w:r>
          </w:p>
        </w:tc>
        <w:tc>
          <w:tcPr>
            <w:tcW w:w="992" w:type="dxa"/>
            <w:tcBorders>
              <w:top w:val="nil"/>
              <w:left w:val="nil"/>
              <w:bottom w:val="single" w:sz="4" w:space="0" w:color="auto"/>
              <w:right w:val="single" w:sz="4" w:space="0" w:color="auto"/>
            </w:tcBorders>
            <w:shd w:val="clear" w:color="auto" w:fill="auto"/>
            <w:noWrap/>
            <w:vAlign w:val="bottom"/>
            <w:hideMark/>
          </w:tcPr>
          <w:p w:rsidR="00A40AA5" w:rsidRPr="00E86802" w:rsidRDefault="00FD37E3" w:rsidP="00814589">
            <w:pPr>
              <w:spacing w:after="120" w:line="0" w:lineRule="atLeast"/>
              <w:jc w:val="center"/>
              <w:rPr>
                <w:rFonts w:eastAsia="Times New Roman" w:cs="Times New Roman"/>
              </w:rPr>
            </w:pPr>
            <w:r w:rsidRPr="00E86802">
              <w:rPr>
                <w:rFonts w:eastAsia="Times New Roman" w:cs="Times New Roman"/>
              </w:rPr>
              <w:t>0,53%</w:t>
            </w:r>
          </w:p>
        </w:tc>
      </w:tr>
      <w:tr w:rsidR="00A40AA5" w:rsidRPr="00E86802" w:rsidTr="00814589">
        <w:trPr>
          <w:trHeight w:val="288"/>
          <w:jc w:val="center"/>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A40AA5" w:rsidRPr="00E86802" w:rsidRDefault="00A40AA5" w:rsidP="00814589">
            <w:pPr>
              <w:spacing w:after="120" w:line="0" w:lineRule="atLeast"/>
              <w:ind w:firstLineChars="100" w:firstLine="220"/>
              <w:jc w:val="center"/>
              <w:rPr>
                <w:rFonts w:eastAsia="Times New Roman" w:cs="Times New Roman"/>
              </w:rPr>
            </w:pPr>
            <w:r w:rsidRPr="00E86802">
              <w:rPr>
                <w:rFonts w:eastAsia="Helvetica,Times New Roman" w:cs="Helvetica,Times New Roman"/>
              </w:rPr>
              <w:t>Livorno</w:t>
            </w:r>
          </w:p>
        </w:tc>
        <w:tc>
          <w:tcPr>
            <w:tcW w:w="992" w:type="dxa"/>
            <w:tcBorders>
              <w:top w:val="nil"/>
              <w:left w:val="nil"/>
              <w:bottom w:val="single" w:sz="4" w:space="0" w:color="auto"/>
              <w:right w:val="single" w:sz="4" w:space="0" w:color="auto"/>
            </w:tcBorders>
            <w:shd w:val="clear" w:color="auto" w:fill="auto"/>
            <w:noWrap/>
            <w:vAlign w:val="bottom"/>
            <w:hideMark/>
          </w:tcPr>
          <w:p w:rsidR="00A40AA5" w:rsidRPr="00E86802" w:rsidRDefault="00FD37E3" w:rsidP="00814589">
            <w:pPr>
              <w:spacing w:after="120" w:line="0" w:lineRule="atLeast"/>
              <w:jc w:val="center"/>
              <w:rPr>
                <w:rFonts w:eastAsia="Times New Roman" w:cs="Times New Roman"/>
              </w:rPr>
            </w:pPr>
            <w:r w:rsidRPr="00E86802">
              <w:rPr>
                <w:rFonts w:eastAsia="Times New Roman" w:cs="Times New Roman"/>
              </w:rPr>
              <w:t>1,19%</w:t>
            </w:r>
          </w:p>
        </w:tc>
      </w:tr>
      <w:tr w:rsidR="00A40AA5" w:rsidRPr="00E86802" w:rsidTr="00814589">
        <w:trPr>
          <w:trHeight w:val="288"/>
          <w:jc w:val="center"/>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A40AA5" w:rsidRPr="00E86802" w:rsidRDefault="00A40AA5" w:rsidP="00814589">
            <w:pPr>
              <w:spacing w:after="120" w:line="0" w:lineRule="atLeast"/>
              <w:ind w:firstLineChars="100" w:firstLine="220"/>
              <w:jc w:val="center"/>
              <w:rPr>
                <w:rFonts w:eastAsia="Times New Roman" w:cs="Times New Roman"/>
              </w:rPr>
            </w:pPr>
            <w:r w:rsidRPr="00E86802">
              <w:rPr>
                <w:rFonts w:eastAsia="Helvetica,Times New Roman" w:cs="Helvetica,Times New Roman"/>
              </w:rPr>
              <w:t>Lucca</w:t>
            </w:r>
          </w:p>
        </w:tc>
        <w:tc>
          <w:tcPr>
            <w:tcW w:w="992" w:type="dxa"/>
            <w:tcBorders>
              <w:top w:val="nil"/>
              <w:left w:val="nil"/>
              <w:bottom w:val="single" w:sz="4" w:space="0" w:color="auto"/>
              <w:right w:val="single" w:sz="4" w:space="0" w:color="auto"/>
            </w:tcBorders>
            <w:shd w:val="clear" w:color="auto" w:fill="auto"/>
            <w:noWrap/>
            <w:vAlign w:val="bottom"/>
          </w:tcPr>
          <w:p w:rsidR="00A40AA5" w:rsidRPr="00E86802" w:rsidRDefault="00FD37E3" w:rsidP="00814589">
            <w:pPr>
              <w:spacing w:after="120" w:line="0" w:lineRule="atLeast"/>
              <w:jc w:val="center"/>
              <w:rPr>
                <w:rFonts w:eastAsia="Times New Roman" w:cs="Times New Roman"/>
              </w:rPr>
            </w:pPr>
            <w:r w:rsidRPr="00E86802">
              <w:rPr>
                <w:rFonts w:eastAsia="Times New Roman" w:cs="Times New Roman"/>
              </w:rPr>
              <w:t>4,39%</w:t>
            </w:r>
          </w:p>
        </w:tc>
      </w:tr>
      <w:tr w:rsidR="00A40AA5" w:rsidRPr="00E86802" w:rsidTr="00814589">
        <w:trPr>
          <w:trHeight w:val="288"/>
          <w:jc w:val="center"/>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A40AA5" w:rsidRPr="00E86802" w:rsidRDefault="00A40AA5" w:rsidP="00814589">
            <w:pPr>
              <w:spacing w:after="120" w:line="0" w:lineRule="atLeast"/>
              <w:ind w:firstLineChars="100" w:firstLine="220"/>
              <w:jc w:val="center"/>
              <w:rPr>
                <w:rFonts w:eastAsia="Times New Roman" w:cs="Times New Roman"/>
              </w:rPr>
            </w:pPr>
            <w:r w:rsidRPr="00E86802">
              <w:rPr>
                <w:rFonts w:eastAsia="Helvetica,Times New Roman" w:cs="Helvetica,Times New Roman"/>
              </w:rPr>
              <w:t>Massa-Carrara</w:t>
            </w:r>
          </w:p>
        </w:tc>
        <w:tc>
          <w:tcPr>
            <w:tcW w:w="992" w:type="dxa"/>
            <w:tcBorders>
              <w:top w:val="nil"/>
              <w:left w:val="nil"/>
              <w:bottom w:val="single" w:sz="4" w:space="0" w:color="auto"/>
              <w:right w:val="single" w:sz="4" w:space="0" w:color="auto"/>
            </w:tcBorders>
            <w:shd w:val="clear" w:color="auto" w:fill="auto"/>
            <w:noWrap/>
            <w:vAlign w:val="bottom"/>
          </w:tcPr>
          <w:p w:rsidR="00A40AA5" w:rsidRPr="00E86802" w:rsidRDefault="00FD37E3" w:rsidP="00814589">
            <w:pPr>
              <w:spacing w:after="120" w:line="0" w:lineRule="atLeast"/>
              <w:jc w:val="center"/>
              <w:rPr>
                <w:rFonts w:eastAsia="Times New Roman" w:cs="Times New Roman"/>
              </w:rPr>
            </w:pPr>
            <w:r w:rsidRPr="00E86802">
              <w:rPr>
                <w:rFonts w:eastAsia="Times New Roman" w:cs="Times New Roman"/>
              </w:rPr>
              <w:t>2,96%</w:t>
            </w:r>
          </w:p>
        </w:tc>
      </w:tr>
      <w:tr w:rsidR="00A40AA5" w:rsidRPr="00E86802" w:rsidTr="00814589">
        <w:trPr>
          <w:trHeight w:val="288"/>
          <w:jc w:val="center"/>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A40AA5" w:rsidRPr="00E86802" w:rsidRDefault="00A40AA5" w:rsidP="00814589">
            <w:pPr>
              <w:spacing w:after="120" w:line="0" w:lineRule="atLeast"/>
              <w:ind w:firstLineChars="100" w:firstLine="220"/>
              <w:jc w:val="center"/>
              <w:rPr>
                <w:rFonts w:eastAsia="Times New Roman" w:cs="Times New Roman"/>
              </w:rPr>
            </w:pPr>
            <w:r w:rsidRPr="00E86802">
              <w:rPr>
                <w:rFonts w:eastAsia="Helvetica,Times New Roman" w:cs="Helvetica,Times New Roman"/>
              </w:rPr>
              <w:t>Pisa</w:t>
            </w:r>
          </w:p>
        </w:tc>
        <w:tc>
          <w:tcPr>
            <w:tcW w:w="992" w:type="dxa"/>
            <w:tcBorders>
              <w:top w:val="nil"/>
              <w:left w:val="nil"/>
              <w:bottom w:val="single" w:sz="4" w:space="0" w:color="auto"/>
              <w:right w:val="single" w:sz="4" w:space="0" w:color="auto"/>
            </w:tcBorders>
            <w:shd w:val="clear" w:color="auto" w:fill="auto"/>
            <w:noWrap/>
            <w:vAlign w:val="bottom"/>
          </w:tcPr>
          <w:p w:rsidR="00A40AA5" w:rsidRPr="00E86802" w:rsidRDefault="00FD37E3" w:rsidP="00814589">
            <w:pPr>
              <w:spacing w:after="120" w:line="0" w:lineRule="atLeast"/>
              <w:jc w:val="center"/>
              <w:rPr>
                <w:rFonts w:eastAsia="Times New Roman" w:cs="Times New Roman"/>
              </w:rPr>
            </w:pPr>
            <w:r w:rsidRPr="00E86802">
              <w:rPr>
                <w:rFonts w:eastAsia="Times New Roman" w:cs="Times New Roman"/>
              </w:rPr>
              <w:t>1,96%</w:t>
            </w:r>
          </w:p>
        </w:tc>
      </w:tr>
      <w:tr w:rsidR="00A40AA5" w:rsidRPr="00E86802" w:rsidTr="00814589">
        <w:trPr>
          <w:trHeight w:val="288"/>
          <w:jc w:val="center"/>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A40AA5" w:rsidRPr="00E86802" w:rsidRDefault="00A40AA5" w:rsidP="00814589">
            <w:pPr>
              <w:spacing w:after="120" w:line="0" w:lineRule="atLeast"/>
              <w:ind w:firstLineChars="100" w:firstLine="220"/>
              <w:jc w:val="center"/>
              <w:rPr>
                <w:rFonts w:eastAsia="Times New Roman" w:cs="Times New Roman"/>
              </w:rPr>
            </w:pPr>
            <w:r w:rsidRPr="00E86802">
              <w:rPr>
                <w:rFonts w:eastAsia="Helvetica,Times New Roman" w:cs="Helvetica,Times New Roman"/>
              </w:rPr>
              <w:t>Pistoia</w:t>
            </w:r>
          </w:p>
        </w:tc>
        <w:tc>
          <w:tcPr>
            <w:tcW w:w="992" w:type="dxa"/>
            <w:tcBorders>
              <w:top w:val="nil"/>
              <w:left w:val="nil"/>
              <w:bottom w:val="single" w:sz="4" w:space="0" w:color="auto"/>
              <w:right w:val="single" w:sz="4" w:space="0" w:color="auto"/>
            </w:tcBorders>
            <w:shd w:val="clear" w:color="auto" w:fill="auto"/>
            <w:noWrap/>
            <w:vAlign w:val="bottom"/>
          </w:tcPr>
          <w:p w:rsidR="00A40AA5" w:rsidRPr="00E86802" w:rsidRDefault="00FD37E3" w:rsidP="00814589">
            <w:pPr>
              <w:spacing w:after="120" w:line="0" w:lineRule="atLeast"/>
              <w:jc w:val="center"/>
              <w:rPr>
                <w:rFonts w:eastAsia="Times New Roman" w:cs="Times New Roman"/>
              </w:rPr>
            </w:pPr>
            <w:r w:rsidRPr="00E86802">
              <w:rPr>
                <w:rFonts w:eastAsia="Times New Roman" w:cs="Times New Roman"/>
              </w:rPr>
              <w:t>2,01%</w:t>
            </w:r>
          </w:p>
        </w:tc>
      </w:tr>
      <w:tr w:rsidR="00A40AA5" w:rsidRPr="00E86802" w:rsidTr="00814589">
        <w:trPr>
          <w:trHeight w:val="288"/>
          <w:jc w:val="center"/>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A40AA5" w:rsidRPr="00E86802" w:rsidRDefault="00A40AA5" w:rsidP="00814589">
            <w:pPr>
              <w:spacing w:after="120" w:line="0" w:lineRule="atLeast"/>
              <w:ind w:firstLineChars="100" w:firstLine="220"/>
              <w:jc w:val="center"/>
              <w:rPr>
                <w:rFonts w:eastAsia="Times New Roman" w:cs="Times New Roman"/>
              </w:rPr>
            </w:pPr>
            <w:r w:rsidRPr="00E86802">
              <w:rPr>
                <w:rFonts w:eastAsia="Helvetica,Times New Roman" w:cs="Helvetica,Times New Roman"/>
              </w:rPr>
              <w:t>Prato</w:t>
            </w:r>
          </w:p>
        </w:tc>
        <w:tc>
          <w:tcPr>
            <w:tcW w:w="992" w:type="dxa"/>
            <w:tcBorders>
              <w:top w:val="nil"/>
              <w:left w:val="nil"/>
              <w:bottom w:val="single" w:sz="4" w:space="0" w:color="auto"/>
              <w:right w:val="single" w:sz="4" w:space="0" w:color="auto"/>
            </w:tcBorders>
            <w:shd w:val="clear" w:color="auto" w:fill="auto"/>
            <w:noWrap/>
            <w:vAlign w:val="bottom"/>
          </w:tcPr>
          <w:p w:rsidR="00A40AA5" w:rsidRPr="00E86802" w:rsidRDefault="00FD37E3" w:rsidP="00814589">
            <w:pPr>
              <w:spacing w:after="120" w:line="0" w:lineRule="atLeast"/>
              <w:jc w:val="center"/>
              <w:rPr>
                <w:rFonts w:eastAsia="Times New Roman" w:cs="Times New Roman"/>
              </w:rPr>
            </w:pPr>
            <w:r w:rsidRPr="00E86802">
              <w:rPr>
                <w:rFonts w:eastAsia="Times New Roman" w:cs="Times New Roman"/>
              </w:rPr>
              <w:t>0,00%</w:t>
            </w:r>
          </w:p>
        </w:tc>
      </w:tr>
      <w:tr w:rsidR="00A40AA5" w:rsidRPr="00E86802" w:rsidTr="00814589">
        <w:trPr>
          <w:trHeight w:val="288"/>
          <w:jc w:val="center"/>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A40AA5" w:rsidRPr="00E86802" w:rsidRDefault="00A40AA5" w:rsidP="00814589">
            <w:pPr>
              <w:spacing w:after="120" w:line="0" w:lineRule="atLeast"/>
              <w:ind w:firstLineChars="100" w:firstLine="220"/>
              <w:jc w:val="center"/>
              <w:rPr>
                <w:rFonts w:eastAsia="Times New Roman" w:cs="Times New Roman"/>
              </w:rPr>
            </w:pPr>
            <w:r w:rsidRPr="00E86802">
              <w:rPr>
                <w:rFonts w:eastAsia="Helvetica,Times New Roman" w:cs="Helvetica,Times New Roman"/>
              </w:rPr>
              <w:t>Siena</w:t>
            </w:r>
          </w:p>
        </w:tc>
        <w:tc>
          <w:tcPr>
            <w:tcW w:w="992" w:type="dxa"/>
            <w:tcBorders>
              <w:top w:val="nil"/>
              <w:left w:val="nil"/>
              <w:bottom w:val="single" w:sz="4" w:space="0" w:color="auto"/>
              <w:right w:val="single" w:sz="4" w:space="0" w:color="auto"/>
            </w:tcBorders>
            <w:shd w:val="clear" w:color="auto" w:fill="auto"/>
            <w:noWrap/>
            <w:vAlign w:val="bottom"/>
          </w:tcPr>
          <w:p w:rsidR="00A40AA5" w:rsidRPr="00E86802" w:rsidRDefault="00FD37E3" w:rsidP="00814589">
            <w:pPr>
              <w:spacing w:after="120" w:line="0" w:lineRule="atLeast"/>
              <w:jc w:val="center"/>
              <w:rPr>
                <w:rFonts w:eastAsia="Times New Roman" w:cs="Times New Roman"/>
              </w:rPr>
            </w:pPr>
            <w:r w:rsidRPr="00E86802">
              <w:rPr>
                <w:rFonts w:eastAsia="Times New Roman" w:cs="Times New Roman"/>
              </w:rPr>
              <w:t>11,73%</w:t>
            </w:r>
          </w:p>
        </w:tc>
      </w:tr>
    </w:tbl>
    <w:p w:rsidR="00814589" w:rsidRDefault="00814589" w:rsidP="00814589">
      <w:pPr>
        <w:spacing w:after="120" w:line="0" w:lineRule="atLeast"/>
      </w:pPr>
    </w:p>
    <w:p w:rsidR="00A40AA5" w:rsidRPr="00E86802" w:rsidRDefault="00A40AA5" w:rsidP="00814589">
      <w:pPr>
        <w:spacing w:after="120" w:line="0" w:lineRule="atLeast"/>
        <w:rPr>
          <w:i/>
        </w:rPr>
      </w:pPr>
      <w:r w:rsidRPr="00E86802">
        <w:rPr>
          <w:i/>
        </w:rPr>
        <w:t>Fonte ADSI e SBAP</w:t>
      </w:r>
    </w:p>
    <w:p w:rsidR="00A40AA5" w:rsidRDefault="0085687E" w:rsidP="00E86802">
      <w:pPr>
        <w:spacing w:after="120" w:line="0" w:lineRule="atLeast"/>
        <w:jc w:val="both"/>
      </w:pPr>
      <w:r>
        <w:t>La tabella 2</w:t>
      </w:r>
      <w:r w:rsidR="00A40AA5" w:rsidRPr="00E86802">
        <w:t xml:space="preserve"> evidenzia la potenziale copertura</w:t>
      </w:r>
      <w:r w:rsidR="00FD37E3" w:rsidRPr="00E86802">
        <w:t xml:space="preserve"> a livello regionale e locale dei percorsi di alternanza scuola-lavoro, dati i 30 studenti coinvolti per dimore storica. Particolarmente interessanti appaiono i casi di Firenze (con una percentuale del 4,15% sul totale di 23</w:t>
      </w:r>
      <w:r w:rsidR="000B7E50" w:rsidRPr="00E86802">
        <w:t>.</w:t>
      </w:r>
      <w:r w:rsidR="00FD37E3" w:rsidRPr="00E86802">
        <w:t>123 studenti), di Lucca (4,39% su un totale di 8.874) e, soprattutto, Siena, co</w:t>
      </w:r>
      <w:bookmarkStart w:id="0" w:name="_GoBack"/>
      <w:bookmarkEnd w:id="0"/>
      <w:r w:rsidR="00FD37E3" w:rsidRPr="00E86802">
        <w:t>n una capacità di copertura superiore al 10%. Oltre uno studente dell’ultimo triennio su dieci potrebbe partecipare a percorsi di alternanza scuola-lavoro presso le dimore storiche senesi. Il dato regionale è complessivamente interessante: il 3,32% degli studenti in alt</w:t>
      </w:r>
      <w:r w:rsidR="008765A2" w:rsidRPr="00E86802">
        <w:t>ernanza scuola-lavoro potrebbe</w:t>
      </w:r>
      <w:r w:rsidR="00FD37E3" w:rsidRPr="00E86802">
        <w:t xml:space="preserve"> svolgere attività di formazione e apprendimento presso le dimore storiche toscane. </w:t>
      </w:r>
      <w:r w:rsidR="000B7E50" w:rsidRPr="00E86802">
        <w:t xml:space="preserve">Un dato che potrebbe anche crescere se si prendessero in considerazione anche la dimensione e </w:t>
      </w:r>
      <w:r w:rsidR="005418C2" w:rsidRPr="00E86802">
        <w:t xml:space="preserve">il valore aggiunto prodotto da talune dimore </w:t>
      </w:r>
      <w:r w:rsidR="005418C2" w:rsidRPr="003745BF">
        <w:t>storiche</w:t>
      </w:r>
      <w:r w:rsidR="005418C2" w:rsidRPr="003745BF">
        <w:rPr>
          <w:rStyle w:val="Rimandonotaapidipagina"/>
        </w:rPr>
        <w:footnoteReference w:id="9"/>
      </w:r>
      <w:r w:rsidR="005418C2" w:rsidRPr="003745BF">
        <w:t xml:space="preserve"> e dunque</w:t>
      </w:r>
      <w:r w:rsidR="005418C2" w:rsidRPr="00E86802">
        <w:t xml:space="preserve"> la diversa capacità di assorbimento di studenti in alternanza.</w:t>
      </w:r>
    </w:p>
    <w:p w:rsidR="00C72BBA" w:rsidRPr="00E86802" w:rsidRDefault="00C72BBA" w:rsidP="00E86802">
      <w:pPr>
        <w:spacing w:after="120" w:line="0" w:lineRule="atLeast"/>
        <w:jc w:val="both"/>
      </w:pPr>
    </w:p>
    <w:p w:rsidR="00FD37E3" w:rsidRPr="00E86802" w:rsidRDefault="0085687E" w:rsidP="003745BF">
      <w:pPr>
        <w:spacing w:after="120" w:line="0" w:lineRule="atLeast"/>
        <w:jc w:val="both"/>
        <w:rPr>
          <w:i/>
        </w:rPr>
      </w:pPr>
      <w:r>
        <w:rPr>
          <w:i/>
        </w:rPr>
        <w:lastRenderedPageBreak/>
        <w:t>Tabella 2</w:t>
      </w:r>
      <w:r w:rsidR="00FD37E3" w:rsidRPr="00E86802">
        <w:rPr>
          <w:i/>
        </w:rPr>
        <w:t xml:space="preserve"> “Studenti per l’alternanza scuola-lavoro nelle dimore storiche divisi per provincia in Toscana – valore assoluto”</w:t>
      </w:r>
    </w:p>
    <w:p w:rsidR="003745BF" w:rsidRDefault="003745BF" w:rsidP="00E86802">
      <w:pPr>
        <w:spacing w:after="120" w:line="0" w:lineRule="atLeast"/>
        <w:jc w:val="both"/>
      </w:pPr>
    </w:p>
    <w:tbl>
      <w:tblPr>
        <w:tblpPr w:leftFromText="141" w:rightFromText="141" w:vertAnchor="text" w:horzAnchor="margin" w:tblpXSpec="center" w:tblpYSpec="outside"/>
        <w:tblW w:w="9214" w:type="dxa"/>
        <w:tblCellMar>
          <w:left w:w="70" w:type="dxa"/>
          <w:right w:w="70" w:type="dxa"/>
        </w:tblCellMar>
        <w:tblLook w:val="04A0" w:firstRow="1" w:lastRow="0" w:firstColumn="1" w:lastColumn="0" w:noHBand="0" w:noVBand="1"/>
      </w:tblPr>
      <w:tblGrid>
        <w:gridCol w:w="4395"/>
        <w:gridCol w:w="992"/>
        <w:gridCol w:w="1378"/>
        <w:gridCol w:w="1173"/>
        <w:gridCol w:w="1276"/>
      </w:tblGrid>
      <w:tr w:rsidR="003745BF" w:rsidRPr="00E86802" w:rsidTr="004775FD">
        <w:trPr>
          <w:trHeight w:val="294"/>
        </w:trPr>
        <w:tc>
          <w:tcPr>
            <w:tcW w:w="9214" w:type="dxa"/>
            <w:gridSpan w:val="5"/>
            <w:tcBorders>
              <w:top w:val="nil"/>
              <w:left w:val="nil"/>
              <w:bottom w:val="nil"/>
              <w:right w:val="nil"/>
            </w:tcBorders>
            <w:shd w:val="clear" w:color="auto" w:fill="auto"/>
            <w:noWrap/>
            <w:vAlign w:val="bottom"/>
            <w:hideMark/>
          </w:tcPr>
          <w:p w:rsidR="003745BF" w:rsidRPr="00E86802" w:rsidRDefault="003745BF" w:rsidP="004775FD">
            <w:pPr>
              <w:spacing w:after="120" w:line="0" w:lineRule="atLeast"/>
              <w:rPr>
                <w:rFonts w:eastAsia="Times New Roman" w:cs="Times New Roman"/>
                <w:b/>
                <w:bCs/>
              </w:rPr>
            </w:pPr>
          </w:p>
        </w:tc>
      </w:tr>
      <w:tr w:rsidR="003745BF" w:rsidRPr="00E86802" w:rsidTr="004775FD">
        <w:trPr>
          <w:trHeight w:val="294"/>
        </w:trPr>
        <w:tc>
          <w:tcPr>
            <w:tcW w:w="4395" w:type="dxa"/>
            <w:tcBorders>
              <w:top w:val="single" w:sz="8" w:space="0" w:color="auto"/>
              <w:left w:val="single" w:sz="8" w:space="0" w:color="auto"/>
              <w:bottom w:val="single" w:sz="8" w:space="0" w:color="auto"/>
              <w:right w:val="nil"/>
            </w:tcBorders>
            <w:shd w:val="clear" w:color="auto" w:fill="auto"/>
            <w:noWrap/>
            <w:vAlign w:val="bottom"/>
            <w:hideMark/>
          </w:tcPr>
          <w:p w:rsidR="003745BF" w:rsidRPr="00E86802" w:rsidRDefault="003745BF" w:rsidP="004775FD">
            <w:pPr>
              <w:spacing w:after="120" w:line="0" w:lineRule="atLeast"/>
              <w:jc w:val="center"/>
              <w:rPr>
                <w:rFonts w:eastAsia="Times New Roman" w:cs="Times New Roman"/>
              </w:rPr>
            </w:pPr>
          </w:p>
        </w:tc>
        <w:tc>
          <w:tcPr>
            <w:tcW w:w="992" w:type="dxa"/>
            <w:tcBorders>
              <w:top w:val="single" w:sz="8" w:space="0" w:color="auto"/>
              <w:left w:val="nil"/>
              <w:bottom w:val="single" w:sz="8" w:space="0" w:color="auto"/>
              <w:right w:val="nil"/>
            </w:tcBorders>
            <w:shd w:val="clear" w:color="auto" w:fill="auto"/>
            <w:noWrap/>
            <w:vAlign w:val="bottom"/>
            <w:hideMark/>
          </w:tcPr>
          <w:p w:rsidR="003745BF" w:rsidRPr="00E86802" w:rsidRDefault="003745BF" w:rsidP="004775FD">
            <w:pPr>
              <w:spacing w:after="120" w:line="0" w:lineRule="atLeast"/>
              <w:jc w:val="center"/>
              <w:rPr>
                <w:rFonts w:eastAsia="Times New Roman" w:cs="Times New Roman"/>
              </w:rPr>
            </w:pPr>
            <w:r w:rsidRPr="00E86802">
              <w:rPr>
                <w:rFonts w:eastAsia="Helvetica,Times New Roman" w:cs="Helvetica,Times New Roman"/>
              </w:rPr>
              <w:t>3° Anno</w:t>
            </w:r>
          </w:p>
        </w:tc>
        <w:tc>
          <w:tcPr>
            <w:tcW w:w="1378" w:type="dxa"/>
            <w:tcBorders>
              <w:top w:val="single" w:sz="8" w:space="0" w:color="auto"/>
              <w:left w:val="nil"/>
              <w:bottom w:val="single" w:sz="8" w:space="0" w:color="auto"/>
              <w:right w:val="nil"/>
            </w:tcBorders>
            <w:shd w:val="clear" w:color="auto" w:fill="auto"/>
            <w:noWrap/>
            <w:vAlign w:val="bottom"/>
            <w:hideMark/>
          </w:tcPr>
          <w:p w:rsidR="003745BF" w:rsidRPr="00E86802" w:rsidRDefault="003745BF" w:rsidP="004775FD">
            <w:pPr>
              <w:spacing w:after="120" w:line="0" w:lineRule="atLeast"/>
              <w:jc w:val="center"/>
              <w:rPr>
                <w:rFonts w:eastAsia="Times New Roman" w:cs="Times New Roman"/>
              </w:rPr>
            </w:pPr>
            <w:r w:rsidRPr="00E86802">
              <w:rPr>
                <w:rFonts w:eastAsia="Helvetica,Times New Roman" w:cs="Helvetica,Times New Roman"/>
              </w:rPr>
              <w:t>4° Anno</w:t>
            </w:r>
          </w:p>
        </w:tc>
        <w:tc>
          <w:tcPr>
            <w:tcW w:w="1173" w:type="dxa"/>
            <w:tcBorders>
              <w:top w:val="single" w:sz="8" w:space="0" w:color="auto"/>
              <w:left w:val="nil"/>
              <w:bottom w:val="single" w:sz="8" w:space="0" w:color="auto"/>
              <w:right w:val="nil"/>
            </w:tcBorders>
            <w:shd w:val="clear" w:color="auto" w:fill="auto"/>
            <w:noWrap/>
            <w:vAlign w:val="bottom"/>
            <w:hideMark/>
          </w:tcPr>
          <w:p w:rsidR="003745BF" w:rsidRPr="00E86802" w:rsidRDefault="003745BF" w:rsidP="004775FD">
            <w:pPr>
              <w:spacing w:after="120" w:line="0" w:lineRule="atLeast"/>
              <w:jc w:val="center"/>
              <w:rPr>
                <w:rFonts w:eastAsia="Times New Roman" w:cs="Times New Roman"/>
              </w:rPr>
            </w:pPr>
            <w:r w:rsidRPr="00E86802">
              <w:rPr>
                <w:rFonts w:eastAsia="Helvetica,Times New Roman" w:cs="Helvetica,Times New Roman"/>
              </w:rPr>
              <w:t>5° Anno</w:t>
            </w:r>
          </w:p>
        </w:tc>
        <w:tc>
          <w:tcPr>
            <w:tcW w:w="1276" w:type="dxa"/>
            <w:tcBorders>
              <w:top w:val="single" w:sz="8" w:space="0" w:color="auto"/>
              <w:left w:val="nil"/>
              <w:bottom w:val="single" w:sz="8" w:space="0" w:color="auto"/>
              <w:right w:val="single" w:sz="8" w:space="0" w:color="auto"/>
            </w:tcBorders>
            <w:shd w:val="clear" w:color="auto" w:fill="auto"/>
            <w:noWrap/>
            <w:vAlign w:val="bottom"/>
            <w:hideMark/>
          </w:tcPr>
          <w:p w:rsidR="003745BF" w:rsidRPr="00E86802" w:rsidRDefault="003745BF" w:rsidP="004775FD">
            <w:pPr>
              <w:spacing w:after="120" w:line="0" w:lineRule="atLeast"/>
              <w:jc w:val="center"/>
              <w:rPr>
                <w:rFonts w:eastAsia="Times New Roman" w:cs="Times New Roman"/>
              </w:rPr>
            </w:pPr>
            <w:r w:rsidRPr="00E86802">
              <w:rPr>
                <w:rFonts w:eastAsia="Helvetica,Times New Roman" w:cs="Helvetica,Times New Roman"/>
              </w:rPr>
              <w:t>Totale</w:t>
            </w:r>
          </w:p>
        </w:tc>
      </w:tr>
      <w:tr w:rsidR="003745BF" w:rsidRPr="00E86802" w:rsidTr="004775FD">
        <w:trPr>
          <w:trHeight w:val="288"/>
        </w:trPr>
        <w:tc>
          <w:tcPr>
            <w:tcW w:w="4395" w:type="dxa"/>
            <w:tcBorders>
              <w:top w:val="nil"/>
              <w:left w:val="single" w:sz="4" w:space="0" w:color="auto"/>
              <w:bottom w:val="single" w:sz="4" w:space="0" w:color="auto"/>
              <w:right w:val="single" w:sz="4" w:space="0" w:color="auto"/>
            </w:tcBorders>
            <w:shd w:val="clear" w:color="auto" w:fill="FFC000"/>
            <w:noWrap/>
            <w:vAlign w:val="bottom"/>
            <w:hideMark/>
          </w:tcPr>
          <w:p w:rsidR="003745BF" w:rsidRPr="00E86802" w:rsidRDefault="003745BF" w:rsidP="004775FD">
            <w:pPr>
              <w:spacing w:after="120" w:line="0" w:lineRule="atLeast"/>
              <w:jc w:val="center"/>
              <w:rPr>
                <w:rFonts w:eastAsia="Times New Roman" w:cs="Times New Roman"/>
                <w:b/>
                <w:bCs/>
              </w:rPr>
            </w:pPr>
            <w:r w:rsidRPr="00E86802">
              <w:rPr>
                <w:rFonts w:eastAsia="Helvetica,Times New Roman" w:cs="Helvetica,Times New Roman"/>
                <w:b/>
                <w:bCs/>
              </w:rPr>
              <w:t>Toscana</w:t>
            </w:r>
          </w:p>
        </w:tc>
        <w:tc>
          <w:tcPr>
            <w:tcW w:w="992" w:type="dxa"/>
            <w:tcBorders>
              <w:top w:val="nil"/>
              <w:left w:val="nil"/>
              <w:bottom w:val="single" w:sz="4" w:space="0" w:color="auto"/>
              <w:right w:val="single" w:sz="4" w:space="0" w:color="auto"/>
            </w:tcBorders>
            <w:shd w:val="clear" w:color="auto" w:fill="FFC000"/>
            <w:vAlign w:val="center"/>
          </w:tcPr>
          <w:p w:rsidR="003745BF" w:rsidRPr="00E86802" w:rsidRDefault="003745BF" w:rsidP="004775FD">
            <w:pPr>
              <w:spacing w:after="120" w:line="0" w:lineRule="atLeast"/>
              <w:jc w:val="center"/>
              <w:rPr>
                <w:rFonts w:eastAsia="Times New Roman" w:cs="Times New Roman"/>
                <w:b/>
                <w:bCs/>
              </w:rPr>
            </w:pPr>
            <w:r w:rsidRPr="00E86802">
              <w:rPr>
                <w:rFonts w:eastAsia="Times New Roman" w:cs="Times New Roman"/>
                <w:b/>
                <w:bCs/>
              </w:rPr>
              <w:t>1057</w:t>
            </w:r>
          </w:p>
        </w:tc>
        <w:tc>
          <w:tcPr>
            <w:tcW w:w="1378" w:type="dxa"/>
            <w:tcBorders>
              <w:top w:val="nil"/>
              <w:left w:val="nil"/>
              <w:bottom w:val="single" w:sz="4" w:space="0" w:color="auto"/>
              <w:right w:val="single" w:sz="4" w:space="0" w:color="auto"/>
            </w:tcBorders>
            <w:shd w:val="clear" w:color="auto" w:fill="FFC000"/>
            <w:vAlign w:val="center"/>
          </w:tcPr>
          <w:p w:rsidR="003745BF" w:rsidRPr="00E86802" w:rsidRDefault="003745BF" w:rsidP="004775FD">
            <w:pPr>
              <w:spacing w:after="120" w:line="0" w:lineRule="atLeast"/>
              <w:jc w:val="center"/>
              <w:rPr>
                <w:rFonts w:eastAsia="Times New Roman" w:cs="Times New Roman"/>
                <w:b/>
                <w:bCs/>
              </w:rPr>
            </w:pPr>
            <w:r w:rsidRPr="00E86802">
              <w:rPr>
                <w:rFonts w:eastAsia="Times New Roman" w:cs="Times New Roman"/>
                <w:b/>
                <w:bCs/>
              </w:rPr>
              <w:t>985</w:t>
            </w:r>
          </w:p>
        </w:tc>
        <w:tc>
          <w:tcPr>
            <w:tcW w:w="1173" w:type="dxa"/>
            <w:tcBorders>
              <w:top w:val="nil"/>
              <w:left w:val="nil"/>
              <w:bottom w:val="single" w:sz="4" w:space="0" w:color="auto"/>
              <w:right w:val="single" w:sz="4" w:space="0" w:color="auto"/>
            </w:tcBorders>
            <w:shd w:val="clear" w:color="auto" w:fill="FFC000"/>
            <w:vAlign w:val="center"/>
          </w:tcPr>
          <w:p w:rsidR="003745BF" w:rsidRPr="00E86802" w:rsidRDefault="003745BF" w:rsidP="004775FD">
            <w:pPr>
              <w:spacing w:after="120" w:line="0" w:lineRule="atLeast"/>
              <w:jc w:val="center"/>
              <w:rPr>
                <w:rFonts w:eastAsia="Times New Roman" w:cs="Times New Roman"/>
                <w:b/>
                <w:bCs/>
              </w:rPr>
            </w:pPr>
            <w:r w:rsidRPr="00E86802">
              <w:rPr>
                <w:rFonts w:eastAsia="Times New Roman" w:cs="Times New Roman"/>
                <w:b/>
                <w:bCs/>
              </w:rPr>
              <w:t>898</w:t>
            </w:r>
          </w:p>
        </w:tc>
        <w:tc>
          <w:tcPr>
            <w:tcW w:w="1276" w:type="dxa"/>
            <w:tcBorders>
              <w:top w:val="nil"/>
              <w:left w:val="nil"/>
              <w:bottom w:val="single" w:sz="4" w:space="0" w:color="auto"/>
              <w:right w:val="single" w:sz="4" w:space="0" w:color="auto"/>
            </w:tcBorders>
            <w:shd w:val="clear" w:color="auto" w:fill="FFC000"/>
            <w:vAlign w:val="center"/>
          </w:tcPr>
          <w:p w:rsidR="003745BF" w:rsidRPr="00E86802" w:rsidRDefault="003745BF" w:rsidP="004775FD">
            <w:pPr>
              <w:spacing w:after="120" w:line="0" w:lineRule="atLeast"/>
              <w:jc w:val="center"/>
              <w:rPr>
                <w:rFonts w:eastAsia="Times New Roman" w:cs="Times New Roman"/>
                <w:b/>
                <w:bCs/>
              </w:rPr>
            </w:pPr>
            <w:r w:rsidRPr="00E86802">
              <w:rPr>
                <w:rFonts w:eastAsia="Times New Roman" w:cs="Times New Roman"/>
                <w:b/>
                <w:bCs/>
              </w:rPr>
              <w:t>2940</w:t>
            </w:r>
          </w:p>
        </w:tc>
      </w:tr>
      <w:tr w:rsidR="003745BF" w:rsidRPr="00E86802" w:rsidTr="004775FD">
        <w:trPr>
          <w:trHeight w:val="288"/>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3745BF" w:rsidRPr="00E86802" w:rsidRDefault="003745BF" w:rsidP="004775FD">
            <w:pPr>
              <w:spacing w:after="120" w:line="0" w:lineRule="atLeast"/>
              <w:ind w:firstLineChars="100" w:firstLine="220"/>
              <w:jc w:val="center"/>
              <w:rPr>
                <w:rFonts w:eastAsia="Times New Roman" w:cs="Times New Roman"/>
              </w:rPr>
            </w:pPr>
            <w:r w:rsidRPr="00E86802">
              <w:rPr>
                <w:rFonts w:eastAsia="Helvetica,Times New Roman" w:cs="Helvetica,Times New Roman"/>
              </w:rPr>
              <w:t>Arezzo</w:t>
            </w:r>
          </w:p>
        </w:tc>
        <w:tc>
          <w:tcPr>
            <w:tcW w:w="992" w:type="dxa"/>
            <w:tcBorders>
              <w:top w:val="nil"/>
              <w:left w:val="nil"/>
              <w:bottom w:val="single" w:sz="4" w:space="0" w:color="auto"/>
              <w:right w:val="single" w:sz="4" w:space="0" w:color="auto"/>
            </w:tcBorders>
            <w:shd w:val="clear" w:color="auto" w:fill="auto"/>
            <w:vAlign w:val="center"/>
          </w:tcPr>
          <w:p w:rsidR="003745BF" w:rsidRPr="00E86802" w:rsidRDefault="003745BF" w:rsidP="004775FD">
            <w:pPr>
              <w:spacing w:after="120" w:line="0" w:lineRule="atLeast"/>
              <w:jc w:val="center"/>
              <w:rPr>
                <w:rFonts w:eastAsia="Times New Roman" w:cs="Times New Roman"/>
                <w:bCs/>
              </w:rPr>
            </w:pPr>
            <w:r w:rsidRPr="00E86802">
              <w:rPr>
                <w:rFonts w:eastAsia="Times New Roman" w:cs="Times New Roman"/>
                <w:bCs/>
              </w:rPr>
              <w:t>76</w:t>
            </w:r>
          </w:p>
        </w:tc>
        <w:tc>
          <w:tcPr>
            <w:tcW w:w="1378" w:type="dxa"/>
            <w:tcBorders>
              <w:top w:val="nil"/>
              <w:left w:val="nil"/>
              <w:bottom w:val="single" w:sz="4" w:space="0" w:color="auto"/>
              <w:right w:val="single" w:sz="4" w:space="0" w:color="auto"/>
            </w:tcBorders>
            <w:shd w:val="clear" w:color="auto" w:fill="auto"/>
            <w:vAlign w:val="center"/>
          </w:tcPr>
          <w:p w:rsidR="003745BF" w:rsidRPr="00E86802" w:rsidRDefault="003745BF" w:rsidP="004775FD">
            <w:pPr>
              <w:spacing w:after="120" w:line="0" w:lineRule="atLeast"/>
              <w:jc w:val="center"/>
              <w:rPr>
                <w:rFonts w:eastAsia="Times New Roman" w:cs="Times New Roman"/>
                <w:bCs/>
              </w:rPr>
            </w:pPr>
            <w:r w:rsidRPr="00E86802">
              <w:rPr>
                <w:rFonts w:eastAsia="Times New Roman" w:cs="Times New Roman"/>
                <w:bCs/>
              </w:rPr>
              <w:t>60</w:t>
            </w:r>
          </w:p>
        </w:tc>
        <w:tc>
          <w:tcPr>
            <w:tcW w:w="1173" w:type="dxa"/>
            <w:tcBorders>
              <w:top w:val="nil"/>
              <w:left w:val="nil"/>
              <w:bottom w:val="single" w:sz="4" w:space="0" w:color="auto"/>
              <w:right w:val="single" w:sz="4" w:space="0" w:color="auto"/>
            </w:tcBorders>
            <w:shd w:val="clear" w:color="auto" w:fill="auto"/>
            <w:vAlign w:val="center"/>
          </w:tcPr>
          <w:p w:rsidR="003745BF" w:rsidRPr="00E86802" w:rsidRDefault="003745BF" w:rsidP="004775FD">
            <w:pPr>
              <w:spacing w:after="120" w:line="0" w:lineRule="atLeast"/>
              <w:jc w:val="center"/>
              <w:rPr>
                <w:rFonts w:eastAsia="Times New Roman" w:cs="Times New Roman"/>
                <w:bCs/>
              </w:rPr>
            </w:pPr>
            <w:r w:rsidRPr="00E86802">
              <w:rPr>
                <w:rFonts w:eastAsia="Times New Roman" w:cs="Times New Roman"/>
                <w:bCs/>
              </w:rPr>
              <w:t>64</w:t>
            </w:r>
          </w:p>
        </w:tc>
        <w:tc>
          <w:tcPr>
            <w:tcW w:w="1276" w:type="dxa"/>
            <w:tcBorders>
              <w:top w:val="nil"/>
              <w:left w:val="nil"/>
              <w:bottom w:val="single" w:sz="4" w:space="0" w:color="auto"/>
              <w:right w:val="single" w:sz="4" w:space="0" w:color="auto"/>
            </w:tcBorders>
            <w:shd w:val="clear" w:color="auto" w:fill="auto"/>
            <w:vAlign w:val="center"/>
          </w:tcPr>
          <w:p w:rsidR="003745BF" w:rsidRPr="00E86802" w:rsidRDefault="003745BF" w:rsidP="004775FD">
            <w:pPr>
              <w:spacing w:after="120" w:line="0" w:lineRule="atLeast"/>
              <w:jc w:val="center"/>
              <w:rPr>
                <w:rFonts w:eastAsia="Times New Roman" w:cs="Times New Roman"/>
                <w:bCs/>
              </w:rPr>
            </w:pPr>
            <w:r w:rsidRPr="00E86802">
              <w:rPr>
                <w:rFonts w:eastAsia="Times New Roman" w:cs="Times New Roman"/>
                <w:bCs/>
              </w:rPr>
              <w:t>210</w:t>
            </w:r>
          </w:p>
        </w:tc>
      </w:tr>
      <w:tr w:rsidR="003745BF" w:rsidRPr="00E86802" w:rsidTr="004775FD">
        <w:trPr>
          <w:trHeight w:val="288"/>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3745BF" w:rsidRPr="00E86802" w:rsidRDefault="003745BF" w:rsidP="004775FD">
            <w:pPr>
              <w:spacing w:after="120" w:line="0" w:lineRule="atLeast"/>
              <w:ind w:firstLineChars="100" w:firstLine="220"/>
              <w:jc w:val="center"/>
              <w:rPr>
                <w:rFonts w:eastAsia="Times New Roman" w:cs="Times New Roman"/>
              </w:rPr>
            </w:pPr>
            <w:r w:rsidRPr="00E86802">
              <w:rPr>
                <w:rFonts w:eastAsia="Helvetica,Times New Roman" w:cs="Helvetica,Times New Roman"/>
              </w:rPr>
              <w:t>Firenze</w:t>
            </w:r>
          </w:p>
        </w:tc>
        <w:tc>
          <w:tcPr>
            <w:tcW w:w="992" w:type="dxa"/>
            <w:tcBorders>
              <w:top w:val="nil"/>
              <w:left w:val="nil"/>
              <w:bottom w:val="single" w:sz="4" w:space="0" w:color="auto"/>
              <w:right w:val="single" w:sz="4" w:space="0" w:color="auto"/>
            </w:tcBorders>
            <w:shd w:val="clear" w:color="auto" w:fill="auto"/>
            <w:vAlign w:val="center"/>
          </w:tcPr>
          <w:p w:rsidR="003745BF" w:rsidRPr="00E86802" w:rsidRDefault="003745BF" w:rsidP="004775FD">
            <w:pPr>
              <w:spacing w:after="120" w:line="0" w:lineRule="atLeast"/>
              <w:jc w:val="center"/>
              <w:rPr>
                <w:rFonts w:eastAsia="Times New Roman" w:cs="Times New Roman"/>
              </w:rPr>
            </w:pPr>
            <w:r w:rsidRPr="00E86802">
              <w:rPr>
                <w:rFonts w:eastAsia="Times New Roman" w:cs="Times New Roman"/>
              </w:rPr>
              <w:t>346</w:t>
            </w:r>
          </w:p>
        </w:tc>
        <w:tc>
          <w:tcPr>
            <w:tcW w:w="1378" w:type="dxa"/>
            <w:tcBorders>
              <w:top w:val="nil"/>
              <w:left w:val="nil"/>
              <w:bottom w:val="single" w:sz="4" w:space="0" w:color="auto"/>
              <w:right w:val="single" w:sz="4" w:space="0" w:color="auto"/>
            </w:tcBorders>
            <w:shd w:val="clear" w:color="auto" w:fill="auto"/>
            <w:vAlign w:val="center"/>
          </w:tcPr>
          <w:p w:rsidR="003745BF" w:rsidRPr="00E86802" w:rsidRDefault="003745BF" w:rsidP="004775FD">
            <w:pPr>
              <w:spacing w:after="120" w:line="0" w:lineRule="atLeast"/>
              <w:jc w:val="center"/>
              <w:rPr>
                <w:rFonts w:eastAsia="Times New Roman" w:cs="Times New Roman"/>
              </w:rPr>
            </w:pPr>
            <w:r w:rsidRPr="00E86802">
              <w:rPr>
                <w:rFonts w:eastAsia="Times New Roman" w:cs="Times New Roman"/>
              </w:rPr>
              <w:t>324</w:t>
            </w:r>
          </w:p>
        </w:tc>
        <w:tc>
          <w:tcPr>
            <w:tcW w:w="1173" w:type="dxa"/>
            <w:tcBorders>
              <w:top w:val="nil"/>
              <w:left w:val="nil"/>
              <w:bottom w:val="single" w:sz="4" w:space="0" w:color="auto"/>
              <w:right w:val="single" w:sz="4" w:space="0" w:color="auto"/>
            </w:tcBorders>
            <w:shd w:val="clear" w:color="auto" w:fill="auto"/>
            <w:vAlign w:val="center"/>
          </w:tcPr>
          <w:p w:rsidR="003745BF" w:rsidRPr="00E86802" w:rsidRDefault="003745BF" w:rsidP="004775FD">
            <w:pPr>
              <w:spacing w:after="120" w:line="0" w:lineRule="atLeast"/>
              <w:jc w:val="center"/>
              <w:rPr>
                <w:rFonts w:eastAsia="Times New Roman" w:cs="Times New Roman"/>
              </w:rPr>
            </w:pPr>
            <w:r w:rsidRPr="00E86802">
              <w:rPr>
                <w:rFonts w:eastAsia="Times New Roman" w:cs="Times New Roman"/>
              </w:rPr>
              <w:t>290</w:t>
            </w:r>
          </w:p>
        </w:tc>
        <w:tc>
          <w:tcPr>
            <w:tcW w:w="1276" w:type="dxa"/>
            <w:tcBorders>
              <w:top w:val="nil"/>
              <w:left w:val="nil"/>
              <w:bottom w:val="single" w:sz="4" w:space="0" w:color="auto"/>
              <w:right w:val="single" w:sz="4" w:space="0" w:color="auto"/>
            </w:tcBorders>
            <w:shd w:val="clear" w:color="auto" w:fill="auto"/>
            <w:vAlign w:val="center"/>
          </w:tcPr>
          <w:p w:rsidR="003745BF" w:rsidRPr="00E86802" w:rsidRDefault="003745BF" w:rsidP="004775FD">
            <w:pPr>
              <w:spacing w:after="120" w:line="0" w:lineRule="atLeast"/>
              <w:jc w:val="center"/>
              <w:rPr>
                <w:rFonts w:eastAsia="Times New Roman" w:cs="Times New Roman"/>
              </w:rPr>
            </w:pPr>
            <w:r w:rsidRPr="00E86802">
              <w:rPr>
                <w:rFonts w:eastAsia="Times New Roman" w:cs="Times New Roman"/>
              </w:rPr>
              <w:t>960</w:t>
            </w:r>
          </w:p>
        </w:tc>
      </w:tr>
      <w:tr w:rsidR="003745BF" w:rsidRPr="00E86802" w:rsidTr="004775FD">
        <w:trPr>
          <w:trHeight w:val="288"/>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3745BF" w:rsidRPr="00E86802" w:rsidRDefault="003745BF" w:rsidP="004775FD">
            <w:pPr>
              <w:spacing w:after="120" w:line="0" w:lineRule="atLeast"/>
              <w:ind w:firstLineChars="100" w:firstLine="220"/>
              <w:jc w:val="center"/>
              <w:rPr>
                <w:rFonts w:eastAsia="Times New Roman" w:cs="Times New Roman"/>
              </w:rPr>
            </w:pPr>
            <w:r w:rsidRPr="00E86802">
              <w:rPr>
                <w:rFonts w:eastAsia="Helvetica,Times New Roman" w:cs="Helvetica,Times New Roman"/>
              </w:rPr>
              <w:t>Grosseto</w:t>
            </w:r>
          </w:p>
        </w:tc>
        <w:tc>
          <w:tcPr>
            <w:tcW w:w="992" w:type="dxa"/>
            <w:tcBorders>
              <w:top w:val="nil"/>
              <w:left w:val="nil"/>
              <w:bottom w:val="single" w:sz="4" w:space="0" w:color="auto"/>
              <w:right w:val="single" w:sz="4" w:space="0" w:color="auto"/>
            </w:tcBorders>
            <w:shd w:val="clear" w:color="auto" w:fill="auto"/>
            <w:vAlign w:val="center"/>
          </w:tcPr>
          <w:p w:rsidR="003745BF" w:rsidRPr="00E86802" w:rsidRDefault="003745BF" w:rsidP="004775FD">
            <w:pPr>
              <w:spacing w:after="120" w:line="0" w:lineRule="atLeast"/>
              <w:jc w:val="center"/>
              <w:rPr>
                <w:rFonts w:eastAsia="Times New Roman" w:cs="Times New Roman"/>
                <w:bCs/>
              </w:rPr>
            </w:pPr>
            <w:r w:rsidRPr="00E86802">
              <w:rPr>
                <w:rFonts w:eastAsia="Times New Roman" w:cs="Times New Roman"/>
                <w:bCs/>
              </w:rPr>
              <w:t>11</w:t>
            </w:r>
          </w:p>
        </w:tc>
        <w:tc>
          <w:tcPr>
            <w:tcW w:w="1378" w:type="dxa"/>
            <w:tcBorders>
              <w:top w:val="nil"/>
              <w:left w:val="nil"/>
              <w:bottom w:val="single" w:sz="4" w:space="0" w:color="auto"/>
              <w:right w:val="single" w:sz="4" w:space="0" w:color="auto"/>
            </w:tcBorders>
            <w:shd w:val="clear" w:color="auto" w:fill="auto"/>
            <w:vAlign w:val="center"/>
          </w:tcPr>
          <w:p w:rsidR="003745BF" w:rsidRPr="00E86802" w:rsidRDefault="003745BF" w:rsidP="004775FD">
            <w:pPr>
              <w:spacing w:after="120" w:line="0" w:lineRule="atLeast"/>
              <w:jc w:val="center"/>
              <w:rPr>
                <w:rFonts w:eastAsia="Times New Roman" w:cs="Times New Roman"/>
                <w:bCs/>
              </w:rPr>
            </w:pPr>
            <w:r w:rsidRPr="00E86802">
              <w:rPr>
                <w:rFonts w:eastAsia="Times New Roman" w:cs="Times New Roman"/>
                <w:bCs/>
              </w:rPr>
              <w:t>10</w:t>
            </w:r>
          </w:p>
        </w:tc>
        <w:tc>
          <w:tcPr>
            <w:tcW w:w="1173" w:type="dxa"/>
            <w:tcBorders>
              <w:top w:val="nil"/>
              <w:left w:val="nil"/>
              <w:bottom w:val="single" w:sz="4" w:space="0" w:color="auto"/>
              <w:right w:val="single" w:sz="4" w:space="0" w:color="auto"/>
            </w:tcBorders>
            <w:shd w:val="clear" w:color="auto" w:fill="auto"/>
            <w:vAlign w:val="center"/>
          </w:tcPr>
          <w:p w:rsidR="003745BF" w:rsidRPr="00E86802" w:rsidRDefault="003745BF" w:rsidP="004775FD">
            <w:pPr>
              <w:spacing w:after="120" w:line="0" w:lineRule="atLeast"/>
              <w:jc w:val="center"/>
              <w:rPr>
                <w:rFonts w:eastAsia="Times New Roman" w:cs="Times New Roman"/>
                <w:bCs/>
              </w:rPr>
            </w:pPr>
            <w:r w:rsidRPr="00E86802">
              <w:rPr>
                <w:rFonts w:eastAsia="Times New Roman" w:cs="Times New Roman"/>
                <w:bCs/>
              </w:rPr>
              <w:t>10</w:t>
            </w:r>
          </w:p>
        </w:tc>
        <w:tc>
          <w:tcPr>
            <w:tcW w:w="1276" w:type="dxa"/>
            <w:tcBorders>
              <w:top w:val="nil"/>
              <w:left w:val="nil"/>
              <w:bottom w:val="single" w:sz="4" w:space="0" w:color="auto"/>
              <w:right w:val="single" w:sz="4" w:space="0" w:color="auto"/>
            </w:tcBorders>
            <w:shd w:val="clear" w:color="auto" w:fill="auto"/>
            <w:vAlign w:val="center"/>
          </w:tcPr>
          <w:p w:rsidR="003745BF" w:rsidRPr="00E86802" w:rsidRDefault="003745BF" w:rsidP="004775FD">
            <w:pPr>
              <w:spacing w:after="120" w:line="0" w:lineRule="atLeast"/>
              <w:jc w:val="center"/>
              <w:rPr>
                <w:rFonts w:eastAsia="Times New Roman" w:cs="Times New Roman"/>
                <w:bCs/>
              </w:rPr>
            </w:pPr>
            <w:r w:rsidRPr="00E86802">
              <w:rPr>
                <w:rFonts w:eastAsia="Times New Roman" w:cs="Times New Roman"/>
                <w:bCs/>
              </w:rPr>
              <w:t>30</w:t>
            </w:r>
          </w:p>
        </w:tc>
      </w:tr>
      <w:tr w:rsidR="003745BF" w:rsidRPr="00E86802" w:rsidTr="004775FD">
        <w:trPr>
          <w:trHeight w:val="288"/>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3745BF" w:rsidRPr="00E86802" w:rsidRDefault="003745BF" w:rsidP="004775FD">
            <w:pPr>
              <w:spacing w:after="120" w:line="0" w:lineRule="atLeast"/>
              <w:ind w:firstLineChars="100" w:firstLine="220"/>
              <w:jc w:val="center"/>
              <w:rPr>
                <w:rFonts w:eastAsia="Times New Roman" w:cs="Times New Roman"/>
              </w:rPr>
            </w:pPr>
            <w:r w:rsidRPr="00E86802">
              <w:rPr>
                <w:rFonts w:eastAsia="Helvetica,Times New Roman" w:cs="Helvetica,Times New Roman"/>
              </w:rPr>
              <w:t>Livorno</w:t>
            </w:r>
          </w:p>
        </w:tc>
        <w:tc>
          <w:tcPr>
            <w:tcW w:w="992" w:type="dxa"/>
            <w:tcBorders>
              <w:top w:val="nil"/>
              <w:left w:val="nil"/>
              <w:bottom w:val="single" w:sz="4" w:space="0" w:color="auto"/>
              <w:right w:val="single" w:sz="4" w:space="0" w:color="auto"/>
            </w:tcBorders>
            <w:shd w:val="clear" w:color="auto" w:fill="auto"/>
            <w:vAlign w:val="center"/>
          </w:tcPr>
          <w:p w:rsidR="003745BF" w:rsidRPr="00E86802" w:rsidRDefault="003745BF" w:rsidP="004775FD">
            <w:pPr>
              <w:spacing w:after="120" w:line="0" w:lineRule="atLeast"/>
              <w:jc w:val="center"/>
              <w:rPr>
                <w:rFonts w:eastAsia="Times New Roman" w:cs="Times New Roman"/>
                <w:bCs/>
              </w:rPr>
            </w:pPr>
            <w:r w:rsidRPr="00E86802">
              <w:rPr>
                <w:rFonts w:eastAsia="Times New Roman" w:cs="Times New Roman"/>
                <w:bCs/>
              </w:rPr>
              <w:t>33</w:t>
            </w:r>
          </w:p>
        </w:tc>
        <w:tc>
          <w:tcPr>
            <w:tcW w:w="1378" w:type="dxa"/>
            <w:tcBorders>
              <w:top w:val="nil"/>
              <w:left w:val="nil"/>
              <w:bottom w:val="single" w:sz="4" w:space="0" w:color="auto"/>
              <w:right w:val="single" w:sz="4" w:space="0" w:color="auto"/>
            </w:tcBorders>
            <w:shd w:val="clear" w:color="auto" w:fill="auto"/>
            <w:vAlign w:val="center"/>
          </w:tcPr>
          <w:p w:rsidR="003745BF" w:rsidRPr="00E86802" w:rsidRDefault="003745BF" w:rsidP="004775FD">
            <w:pPr>
              <w:spacing w:after="120" w:line="0" w:lineRule="atLeast"/>
              <w:jc w:val="center"/>
              <w:rPr>
                <w:rFonts w:eastAsia="Times New Roman" w:cs="Times New Roman"/>
                <w:bCs/>
              </w:rPr>
            </w:pPr>
            <w:r w:rsidRPr="00E86802">
              <w:rPr>
                <w:rFonts w:eastAsia="Times New Roman" w:cs="Times New Roman"/>
                <w:bCs/>
              </w:rPr>
              <w:t>30</w:t>
            </w:r>
          </w:p>
        </w:tc>
        <w:tc>
          <w:tcPr>
            <w:tcW w:w="1173" w:type="dxa"/>
            <w:tcBorders>
              <w:top w:val="nil"/>
              <w:left w:val="nil"/>
              <w:bottom w:val="single" w:sz="4" w:space="0" w:color="auto"/>
              <w:right w:val="single" w:sz="4" w:space="0" w:color="auto"/>
            </w:tcBorders>
            <w:shd w:val="clear" w:color="auto" w:fill="auto"/>
            <w:vAlign w:val="center"/>
          </w:tcPr>
          <w:p w:rsidR="003745BF" w:rsidRPr="00E86802" w:rsidRDefault="003745BF" w:rsidP="004775FD">
            <w:pPr>
              <w:spacing w:after="120" w:line="0" w:lineRule="atLeast"/>
              <w:jc w:val="center"/>
              <w:rPr>
                <w:rFonts w:eastAsia="Times New Roman" w:cs="Times New Roman"/>
                <w:bCs/>
              </w:rPr>
            </w:pPr>
            <w:r w:rsidRPr="00E86802">
              <w:rPr>
                <w:rFonts w:eastAsia="Times New Roman" w:cs="Times New Roman"/>
                <w:bCs/>
              </w:rPr>
              <w:t>27</w:t>
            </w:r>
          </w:p>
        </w:tc>
        <w:tc>
          <w:tcPr>
            <w:tcW w:w="1276" w:type="dxa"/>
            <w:tcBorders>
              <w:top w:val="nil"/>
              <w:left w:val="nil"/>
              <w:bottom w:val="single" w:sz="4" w:space="0" w:color="auto"/>
              <w:right w:val="single" w:sz="4" w:space="0" w:color="auto"/>
            </w:tcBorders>
            <w:shd w:val="clear" w:color="auto" w:fill="auto"/>
            <w:vAlign w:val="center"/>
          </w:tcPr>
          <w:p w:rsidR="003745BF" w:rsidRPr="00E86802" w:rsidRDefault="003745BF" w:rsidP="004775FD">
            <w:pPr>
              <w:spacing w:after="120" w:line="0" w:lineRule="atLeast"/>
              <w:jc w:val="center"/>
              <w:rPr>
                <w:rFonts w:eastAsia="Times New Roman" w:cs="Times New Roman"/>
                <w:bCs/>
              </w:rPr>
            </w:pPr>
            <w:r w:rsidRPr="00E86802">
              <w:rPr>
                <w:rFonts w:eastAsia="Times New Roman" w:cs="Times New Roman"/>
                <w:bCs/>
              </w:rPr>
              <w:t>90</w:t>
            </w:r>
          </w:p>
        </w:tc>
      </w:tr>
      <w:tr w:rsidR="003745BF" w:rsidRPr="00E86802" w:rsidTr="004775FD">
        <w:trPr>
          <w:trHeight w:val="288"/>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3745BF" w:rsidRPr="00E86802" w:rsidRDefault="003745BF" w:rsidP="004775FD">
            <w:pPr>
              <w:spacing w:after="120" w:line="0" w:lineRule="atLeast"/>
              <w:ind w:firstLineChars="100" w:firstLine="220"/>
              <w:jc w:val="center"/>
              <w:rPr>
                <w:rFonts w:eastAsia="Times New Roman" w:cs="Times New Roman"/>
              </w:rPr>
            </w:pPr>
            <w:r w:rsidRPr="00E86802">
              <w:rPr>
                <w:rFonts w:eastAsia="Helvetica,Times New Roman" w:cs="Helvetica,Times New Roman"/>
              </w:rPr>
              <w:t>Lucca</w:t>
            </w:r>
          </w:p>
        </w:tc>
        <w:tc>
          <w:tcPr>
            <w:tcW w:w="992" w:type="dxa"/>
            <w:tcBorders>
              <w:top w:val="nil"/>
              <w:left w:val="nil"/>
              <w:bottom w:val="single" w:sz="4" w:space="0" w:color="auto"/>
              <w:right w:val="single" w:sz="4" w:space="0" w:color="auto"/>
            </w:tcBorders>
            <w:shd w:val="clear" w:color="auto" w:fill="auto"/>
            <w:vAlign w:val="center"/>
          </w:tcPr>
          <w:p w:rsidR="003745BF" w:rsidRPr="00E86802" w:rsidRDefault="003745BF" w:rsidP="004775FD">
            <w:pPr>
              <w:spacing w:after="120" w:line="0" w:lineRule="atLeast"/>
              <w:jc w:val="center"/>
              <w:rPr>
                <w:rFonts w:eastAsia="Times New Roman" w:cs="Times New Roman"/>
              </w:rPr>
            </w:pPr>
            <w:r w:rsidRPr="00E86802">
              <w:rPr>
                <w:rFonts w:eastAsia="Times New Roman" w:cs="Times New Roman"/>
              </w:rPr>
              <w:t>135</w:t>
            </w:r>
          </w:p>
        </w:tc>
        <w:tc>
          <w:tcPr>
            <w:tcW w:w="1378" w:type="dxa"/>
            <w:tcBorders>
              <w:top w:val="nil"/>
              <w:left w:val="nil"/>
              <w:bottom w:val="single" w:sz="4" w:space="0" w:color="auto"/>
              <w:right w:val="single" w:sz="4" w:space="0" w:color="auto"/>
            </w:tcBorders>
            <w:shd w:val="clear" w:color="auto" w:fill="auto"/>
            <w:vAlign w:val="center"/>
          </w:tcPr>
          <w:p w:rsidR="003745BF" w:rsidRPr="00E86802" w:rsidRDefault="003745BF" w:rsidP="004775FD">
            <w:pPr>
              <w:spacing w:after="120" w:line="0" w:lineRule="atLeast"/>
              <w:jc w:val="center"/>
              <w:rPr>
                <w:rFonts w:eastAsia="Times New Roman" w:cs="Times New Roman"/>
              </w:rPr>
            </w:pPr>
            <w:r w:rsidRPr="00E86802">
              <w:rPr>
                <w:rFonts w:eastAsia="Times New Roman" w:cs="Times New Roman"/>
              </w:rPr>
              <w:t>131</w:t>
            </w:r>
          </w:p>
        </w:tc>
        <w:tc>
          <w:tcPr>
            <w:tcW w:w="1173" w:type="dxa"/>
            <w:tcBorders>
              <w:top w:val="nil"/>
              <w:left w:val="nil"/>
              <w:bottom w:val="single" w:sz="4" w:space="0" w:color="auto"/>
              <w:right w:val="single" w:sz="4" w:space="0" w:color="auto"/>
            </w:tcBorders>
            <w:shd w:val="clear" w:color="auto" w:fill="auto"/>
            <w:vAlign w:val="center"/>
          </w:tcPr>
          <w:p w:rsidR="003745BF" w:rsidRPr="00E86802" w:rsidRDefault="003745BF" w:rsidP="004775FD">
            <w:pPr>
              <w:spacing w:after="120" w:line="0" w:lineRule="atLeast"/>
              <w:jc w:val="center"/>
              <w:rPr>
                <w:rFonts w:eastAsia="Times New Roman" w:cs="Times New Roman"/>
              </w:rPr>
            </w:pPr>
            <w:r w:rsidRPr="00E86802">
              <w:rPr>
                <w:rFonts w:eastAsia="Times New Roman" w:cs="Times New Roman"/>
              </w:rPr>
              <w:t>124</w:t>
            </w:r>
          </w:p>
        </w:tc>
        <w:tc>
          <w:tcPr>
            <w:tcW w:w="1276" w:type="dxa"/>
            <w:tcBorders>
              <w:top w:val="nil"/>
              <w:left w:val="nil"/>
              <w:bottom w:val="single" w:sz="4" w:space="0" w:color="auto"/>
              <w:right w:val="single" w:sz="4" w:space="0" w:color="auto"/>
            </w:tcBorders>
            <w:shd w:val="clear" w:color="auto" w:fill="auto"/>
            <w:vAlign w:val="center"/>
          </w:tcPr>
          <w:p w:rsidR="003745BF" w:rsidRPr="00E86802" w:rsidRDefault="003745BF" w:rsidP="004775FD">
            <w:pPr>
              <w:spacing w:after="120" w:line="0" w:lineRule="atLeast"/>
              <w:jc w:val="center"/>
              <w:rPr>
                <w:rFonts w:eastAsia="Times New Roman" w:cs="Times New Roman"/>
              </w:rPr>
            </w:pPr>
            <w:r w:rsidRPr="00E86802">
              <w:rPr>
                <w:rFonts w:eastAsia="Times New Roman" w:cs="Times New Roman"/>
              </w:rPr>
              <w:t>390</w:t>
            </w:r>
          </w:p>
        </w:tc>
      </w:tr>
      <w:tr w:rsidR="003745BF" w:rsidRPr="00E86802" w:rsidTr="004775FD">
        <w:trPr>
          <w:trHeight w:val="288"/>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3745BF" w:rsidRPr="00E86802" w:rsidRDefault="003745BF" w:rsidP="004775FD">
            <w:pPr>
              <w:spacing w:after="120" w:line="0" w:lineRule="atLeast"/>
              <w:ind w:firstLineChars="100" w:firstLine="220"/>
              <w:jc w:val="center"/>
              <w:rPr>
                <w:rFonts w:eastAsia="Times New Roman" w:cs="Times New Roman"/>
              </w:rPr>
            </w:pPr>
            <w:r w:rsidRPr="00E86802">
              <w:rPr>
                <w:rFonts w:eastAsia="Helvetica,Times New Roman" w:cs="Helvetica,Times New Roman"/>
              </w:rPr>
              <w:t>Massa Carrara</w:t>
            </w:r>
          </w:p>
        </w:tc>
        <w:tc>
          <w:tcPr>
            <w:tcW w:w="992" w:type="dxa"/>
            <w:tcBorders>
              <w:top w:val="nil"/>
              <w:left w:val="nil"/>
              <w:bottom w:val="single" w:sz="4" w:space="0" w:color="auto"/>
              <w:right w:val="single" w:sz="4" w:space="0" w:color="auto"/>
            </w:tcBorders>
            <w:shd w:val="clear" w:color="auto" w:fill="auto"/>
            <w:vAlign w:val="center"/>
          </w:tcPr>
          <w:p w:rsidR="003745BF" w:rsidRPr="00E86802" w:rsidRDefault="003745BF" w:rsidP="004775FD">
            <w:pPr>
              <w:spacing w:after="120" w:line="0" w:lineRule="atLeast"/>
              <w:jc w:val="center"/>
              <w:rPr>
                <w:rFonts w:eastAsia="Times New Roman" w:cs="Times New Roman"/>
                <w:bCs/>
              </w:rPr>
            </w:pPr>
            <w:r w:rsidRPr="00E86802">
              <w:rPr>
                <w:rFonts w:eastAsia="Times New Roman" w:cs="Times New Roman"/>
                <w:bCs/>
              </w:rPr>
              <w:t>52</w:t>
            </w:r>
          </w:p>
        </w:tc>
        <w:tc>
          <w:tcPr>
            <w:tcW w:w="1378" w:type="dxa"/>
            <w:tcBorders>
              <w:top w:val="nil"/>
              <w:left w:val="nil"/>
              <w:bottom w:val="single" w:sz="4" w:space="0" w:color="auto"/>
              <w:right w:val="single" w:sz="4" w:space="0" w:color="auto"/>
            </w:tcBorders>
            <w:shd w:val="clear" w:color="auto" w:fill="auto"/>
            <w:vAlign w:val="center"/>
          </w:tcPr>
          <w:p w:rsidR="003745BF" w:rsidRPr="00E86802" w:rsidRDefault="003745BF" w:rsidP="004775FD">
            <w:pPr>
              <w:spacing w:after="120" w:line="0" w:lineRule="atLeast"/>
              <w:jc w:val="center"/>
              <w:rPr>
                <w:rFonts w:eastAsia="Times New Roman" w:cs="Times New Roman"/>
                <w:bCs/>
              </w:rPr>
            </w:pPr>
            <w:r w:rsidRPr="00E86802">
              <w:rPr>
                <w:rFonts w:eastAsia="Times New Roman" w:cs="Times New Roman"/>
                <w:bCs/>
              </w:rPr>
              <w:t>52</w:t>
            </w:r>
          </w:p>
        </w:tc>
        <w:tc>
          <w:tcPr>
            <w:tcW w:w="1173" w:type="dxa"/>
            <w:tcBorders>
              <w:top w:val="nil"/>
              <w:left w:val="nil"/>
              <w:bottom w:val="single" w:sz="4" w:space="0" w:color="auto"/>
              <w:right w:val="single" w:sz="4" w:space="0" w:color="auto"/>
            </w:tcBorders>
            <w:shd w:val="clear" w:color="auto" w:fill="auto"/>
            <w:vAlign w:val="center"/>
          </w:tcPr>
          <w:p w:rsidR="003745BF" w:rsidRPr="00E86802" w:rsidRDefault="003745BF" w:rsidP="004775FD">
            <w:pPr>
              <w:spacing w:after="120" w:line="0" w:lineRule="atLeast"/>
              <w:jc w:val="center"/>
              <w:rPr>
                <w:rFonts w:eastAsia="Times New Roman" w:cs="Times New Roman"/>
                <w:bCs/>
              </w:rPr>
            </w:pPr>
            <w:r w:rsidRPr="00E86802">
              <w:rPr>
                <w:rFonts w:eastAsia="Times New Roman" w:cs="Times New Roman"/>
                <w:bCs/>
              </w:rPr>
              <w:t>46</w:t>
            </w:r>
          </w:p>
        </w:tc>
        <w:tc>
          <w:tcPr>
            <w:tcW w:w="1276" w:type="dxa"/>
            <w:tcBorders>
              <w:top w:val="nil"/>
              <w:left w:val="nil"/>
              <w:bottom w:val="single" w:sz="4" w:space="0" w:color="auto"/>
              <w:right w:val="single" w:sz="4" w:space="0" w:color="auto"/>
            </w:tcBorders>
            <w:shd w:val="clear" w:color="auto" w:fill="auto"/>
            <w:vAlign w:val="center"/>
          </w:tcPr>
          <w:p w:rsidR="003745BF" w:rsidRPr="00E86802" w:rsidRDefault="003745BF" w:rsidP="004775FD">
            <w:pPr>
              <w:spacing w:after="120" w:line="0" w:lineRule="atLeast"/>
              <w:jc w:val="center"/>
              <w:rPr>
                <w:rFonts w:eastAsia="Times New Roman" w:cs="Times New Roman"/>
                <w:bCs/>
              </w:rPr>
            </w:pPr>
            <w:r w:rsidRPr="00E86802">
              <w:rPr>
                <w:rFonts w:eastAsia="Times New Roman" w:cs="Times New Roman"/>
                <w:bCs/>
              </w:rPr>
              <w:t>150</w:t>
            </w:r>
          </w:p>
        </w:tc>
      </w:tr>
      <w:tr w:rsidR="003745BF" w:rsidRPr="00E86802" w:rsidTr="004775FD">
        <w:trPr>
          <w:trHeight w:val="288"/>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3745BF" w:rsidRPr="00E86802" w:rsidRDefault="003745BF" w:rsidP="004775FD">
            <w:pPr>
              <w:spacing w:after="120" w:line="0" w:lineRule="atLeast"/>
              <w:ind w:firstLineChars="100" w:firstLine="220"/>
              <w:jc w:val="center"/>
              <w:rPr>
                <w:rFonts w:eastAsia="Times New Roman" w:cs="Times New Roman"/>
              </w:rPr>
            </w:pPr>
            <w:r w:rsidRPr="00E86802">
              <w:rPr>
                <w:rFonts w:eastAsia="Helvetica,Times New Roman" w:cs="Helvetica,Times New Roman"/>
              </w:rPr>
              <w:t>Pisa</w:t>
            </w:r>
          </w:p>
        </w:tc>
        <w:tc>
          <w:tcPr>
            <w:tcW w:w="992" w:type="dxa"/>
            <w:tcBorders>
              <w:top w:val="nil"/>
              <w:left w:val="nil"/>
              <w:bottom w:val="single" w:sz="4" w:space="0" w:color="auto"/>
              <w:right w:val="single" w:sz="4" w:space="0" w:color="auto"/>
            </w:tcBorders>
            <w:shd w:val="clear" w:color="auto" w:fill="auto"/>
            <w:vAlign w:val="center"/>
          </w:tcPr>
          <w:p w:rsidR="003745BF" w:rsidRPr="00E86802" w:rsidRDefault="003745BF" w:rsidP="004775FD">
            <w:pPr>
              <w:spacing w:after="120" w:line="0" w:lineRule="atLeast"/>
              <w:jc w:val="center"/>
              <w:rPr>
                <w:rFonts w:eastAsia="Times New Roman" w:cs="Times New Roman"/>
                <w:bCs/>
              </w:rPr>
            </w:pPr>
            <w:r w:rsidRPr="00E86802">
              <w:rPr>
                <w:rFonts w:eastAsia="Times New Roman" w:cs="Times New Roman"/>
                <w:bCs/>
              </w:rPr>
              <w:t>64</w:t>
            </w:r>
          </w:p>
        </w:tc>
        <w:tc>
          <w:tcPr>
            <w:tcW w:w="1378" w:type="dxa"/>
            <w:tcBorders>
              <w:top w:val="nil"/>
              <w:left w:val="nil"/>
              <w:bottom w:val="single" w:sz="4" w:space="0" w:color="auto"/>
              <w:right w:val="single" w:sz="4" w:space="0" w:color="auto"/>
            </w:tcBorders>
            <w:shd w:val="clear" w:color="auto" w:fill="auto"/>
            <w:vAlign w:val="center"/>
          </w:tcPr>
          <w:p w:rsidR="003745BF" w:rsidRPr="00E86802" w:rsidRDefault="003745BF" w:rsidP="004775FD">
            <w:pPr>
              <w:spacing w:after="120" w:line="0" w:lineRule="atLeast"/>
              <w:jc w:val="center"/>
              <w:rPr>
                <w:rFonts w:eastAsia="Times New Roman" w:cs="Times New Roman"/>
                <w:bCs/>
              </w:rPr>
            </w:pPr>
            <w:r w:rsidRPr="00E86802">
              <w:rPr>
                <w:rFonts w:eastAsia="Times New Roman" w:cs="Times New Roman"/>
                <w:bCs/>
              </w:rPr>
              <w:t>60</w:t>
            </w:r>
          </w:p>
        </w:tc>
        <w:tc>
          <w:tcPr>
            <w:tcW w:w="1173" w:type="dxa"/>
            <w:tcBorders>
              <w:top w:val="nil"/>
              <w:left w:val="nil"/>
              <w:bottom w:val="single" w:sz="4" w:space="0" w:color="auto"/>
              <w:right w:val="single" w:sz="4" w:space="0" w:color="auto"/>
            </w:tcBorders>
            <w:shd w:val="clear" w:color="auto" w:fill="auto"/>
            <w:vAlign w:val="center"/>
          </w:tcPr>
          <w:p w:rsidR="003745BF" w:rsidRPr="00E86802" w:rsidRDefault="003745BF" w:rsidP="004775FD">
            <w:pPr>
              <w:spacing w:after="120" w:line="0" w:lineRule="atLeast"/>
              <w:jc w:val="center"/>
              <w:rPr>
                <w:rFonts w:eastAsia="Times New Roman" w:cs="Times New Roman"/>
                <w:bCs/>
              </w:rPr>
            </w:pPr>
            <w:r w:rsidRPr="00E86802">
              <w:rPr>
                <w:rFonts w:eastAsia="Times New Roman" w:cs="Times New Roman"/>
                <w:bCs/>
              </w:rPr>
              <w:t>56</w:t>
            </w:r>
          </w:p>
        </w:tc>
        <w:tc>
          <w:tcPr>
            <w:tcW w:w="1276" w:type="dxa"/>
            <w:tcBorders>
              <w:top w:val="nil"/>
              <w:left w:val="nil"/>
              <w:bottom w:val="single" w:sz="4" w:space="0" w:color="auto"/>
              <w:right w:val="single" w:sz="4" w:space="0" w:color="auto"/>
            </w:tcBorders>
            <w:shd w:val="clear" w:color="auto" w:fill="auto"/>
            <w:vAlign w:val="center"/>
          </w:tcPr>
          <w:p w:rsidR="003745BF" w:rsidRPr="00E86802" w:rsidRDefault="003745BF" w:rsidP="004775FD">
            <w:pPr>
              <w:spacing w:after="120" w:line="0" w:lineRule="atLeast"/>
              <w:jc w:val="center"/>
              <w:rPr>
                <w:rFonts w:eastAsia="Times New Roman" w:cs="Times New Roman"/>
                <w:bCs/>
              </w:rPr>
            </w:pPr>
            <w:r w:rsidRPr="00E86802">
              <w:rPr>
                <w:rFonts w:eastAsia="Times New Roman" w:cs="Times New Roman"/>
                <w:bCs/>
              </w:rPr>
              <w:t>180</w:t>
            </w:r>
          </w:p>
        </w:tc>
      </w:tr>
      <w:tr w:rsidR="003745BF" w:rsidRPr="00E86802" w:rsidTr="004775FD">
        <w:trPr>
          <w:trHeight w:val="288"/>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3745BF" w:rsidRPr="00E86802" w:rsidRDefault="003745BF" w:rsidP="004775FD">
            <w:pPr>
              <w:spacing w:after="120" w:line="0" w:lineRule="atLeast"/>
              <w:ind w:firstLineChars="100" w:firstLine="220"/>
              <w:jc w:val="center"/>
              <w:rPr>
                <w:rFonts w:eastAsia="Times New Roman" w:cs="Times New Roman"/>
              </w:rPr>
            </w:pPr>
            <w:r w:rsidRPr="00E86802">
              <w:rPr>
                <w:rFonts w:eastAsia="Helvetica,Times New Roman" w:cs="Helvetica,Times New Roman"/>
              </w:rPr>
              <w:t>Pistoia</w:t>
            </w:r>
          </w:p>
        </w:tc>
        <w:tc>
          <w:tcPr>
            <w:tcW w:w="992" w:type="dxa"/>
            <w:tcBorders>
              <w:top w:val="nil"/>
              <w:left w:val="nil"/>
              <w:bottom w:val="single" w:sz="4" w:space="0" w:color="auto"/>
              <w:right w:val="single" w:sz="4" w:space="0" w:color="auto"/>
            </w:tcBorders>
            <w:shd w:val="clear" w:color="auto" w:fill="auto"/>
            <w:vAlign w:val="center"/>
          </w:tcPr>
          <w:p w:rsidR="003745BF" w:rsidRPr="00E86802" w:rsidRDefault="003745BF" w:rsidP="004775FD">
            <w:pPr>
              <w:spacing w:after="120" w:line="0" w:lineRule="atLeast"/>
              <w:jc w:val="center"/>
              <w:rPr>
                <w:rFonts w:eastAsia="Times New Roman" w:cs="Times New Roman"/>
                <w:bCs/>
              </w:rPr>
            </w:pPr>
            <w:r w:rsidRPr="00E86802">
              <w:rPr>
                <w:rFonts w:eastAsia="Times New Roman" w:cs="Times New Roman"/>
                <w:bCs/>
              </w:rPr>
              <w:t>54</w:t>
            </w:r>
          </w:p>
        </w:tc>
        <w:tc>
          <w:tcPr>
            <w:tcW w:w="1378" w:type="dxa"/>
            <w:tcBorders>
              <w:top w:val="nil"/>
              <w:left w:val="nil"/>
              <w:bottom w:val="single" w:sz="4" w:space="0" w:color="auto"/>
              <w:right w:val="single" w:sz="4" w:space="0" w:color="auto"/>
            </w:tcBorders>
            <w:shd w:val="clear" w:color="auto" w:fill="auto"/>
            <w:vAlign w:val="center"/>
          </w:tcPr>
          <w:p w:rsidR="003745BF" w:rsidRPr="00E86802" w:rsidRDefault="003745BF" w:rsidP="004775FD">
            <w:pPr>
              <w:spacing w:after="120" w:line="0" w:lineRule="atLeast"/>
              <w:jc w:val="center"/>
              <w:rPr>
                <w:rFonts w:eastAsia="Times New Roman" w:cs="Times New Roman"/>
                <w:bCs/>
              </w:rPr>
            </w:pPr>
            <w:r w:rsidRPr="00E86802">
              <w:rPr>
                <w:rFonts w:eastAsia="Times New Roman" w:cs="Times New Roman"/>
                <w:bCs/>
              </w:rPr>
              <w:t>51</w:t>
            </w:r>
          </w:p>
        </w:tc>
        <w:tc>
          <w:tcPr>
            <w:tcW w:w="1173" w:type="dxa"/>
            <w:tcBorders>
              <w:top w:val="nil"/>
              <w:left w:val="nil"/>
              <w:bottom w:val="single" w:sz="4" w:space="0" w:color="auto"/>
              <w:right w:val="single" w:sz="4" w:space="0" w:color="auto"/>
            </w:tcBorders>
            <w:shd w:val="clear" w:color="auto" w:fill="auto"/>
            <w:vAlign w:val="center"/>
          </w:tcPr>
          <w:p w:rsidR="003745BF" w:rsidRPr="00E86802" w:rsidRDefault="003745BF" w:rsidP="004775FD">
            <w:pPr>
              <w:spacing w:after="120" w:line="0" w:lineRule="atLeast"/>
              <w:jc w:val="center"/>
              <w:rPr>
                <w:rFonts w:eastAsia="Times New Roman" w:cs="Times New Roman"/>
                <w:bCs/>
              </w:rPr>
            </w:pPr>
            <w:r w:rsidRPr="00E86802">
              <w:rPr>
                <w:rFonts w:eastAsia="Times New Roman" w:cs="Times New Roman"/>
                <w:bCs/>
              </w:rPr>
              <w:t>45</w:t>
            </w:r>
          </w:p>
        </w:tc>
        <w:tc>
          <w:tcPr>
            <w:tcW w:w="1276" w:type="dxa"/>
            <w:tcBorders>
              <w:top w:val="nil"/>
              <w:left w:val="nil"/>
              <w:bottom w:val="single" w:sz="4" w:space="0" w:color="auto"/>
              <w:right w:val="single" w:sz="4" w:space="0" w:color="auto"/>
            </w:tcBorders>
            <w:shd w:val="clear" w:color="auto" w:fill="auto"/>
            <w:vAlign w:val="center"/>
          </w:tcPr>
          <w:p w:rsidR="003745BF" w:rsidRPr="00E86802" w:rsidRDefault="003745BF" w:rsidP="004775FD">
            <w:pPr>
              <w:spacing w:after="120" w:line="0" w:lineRule="atLeast"/>
              <w:jc w:val="center"/>
              <w:rPr>
                <w:rFonts w:eastAsia="Times New Roman" w:cs="Times New Roman"/>
                <w:bCs/>
              </w:rPr>
            </w:pPr>
            <w:r w:rsidRPr="00E86802">
              <w:rPr>
                <w:rFonts w:eastAsia="Times New Roman" w:cs="Times New Roman"/>
                <w:bCs/>
              </w:rPr>
              <w:t>150</w:t>
            </w:r>
          </w:p>
        </w:tc>
      </w:tr>
      <w:tr w:rsidR="003745BF" w:rsidRPr="00E86802" w:rsidTr="004775FD">
        <w:trPr>
          <w:trHeight w:val="288"/>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3745BF" w:rsidRPr="00E86802" w:rsidRDefault="003745BF" w:rsidP="004775FD">
            <w:pPr>
              <w:spacing w:after="120" w:line="0" w:lineRule="atLeast"/>
              <w:ind w:firstLineChars="100" w:firstLine="220"/>
              <w:jc w:val="center"/>
              <w:rPr>
                <w:rFonts w:eastAsia="Times New Roman" w:cs="Times New Roman"/>
              </w:rPr>
            </w:pPr>
            <w:r w:rsidRPr="00E86802">
              <w:rPr>
                <w:rFonts w:eastAsia="Helvetica,Times New Roman" w:cs="Helvetica,Times New Roman"/>
              </w:rPr>
              <w:t>Prato</w:t>
            </w:r>
          </w:p>
        </w:tc>
        <w:tc>
          <w:tcPr>
            <w:tcW w:w="992" w:type="dxa"/>
            <w:tcBorders>
              <w:top w:val="nil"/>
              <w:left w:val="nil"/>
              <w:bottom w:val="single" w:sz="4" w:space="0" w:color="auto"/>
              <w:right w:val="single" w:sz="4" w:space="0" w:color="auto"/>
            </w:tcBorders>
            <w:shd w:val="clear" w:color="auto" w:fill="auto"/>
            <w:vAlign w:val="center"/>
          </w:tcPr>
          <w:p w:rsidR="003745BF" w:rsidRPr="00E86802" w:rsidRDefault="003745BF" w:rsidP="004775FD">
            <w:pPr>
              <w:spacing w:after="120" w:line="0" w:lineRule="atLeast"/>
              <w:jc w:val="center"/>
              <w:rPr>
                <w:rFonts w:eastAsia="Times New Roman" w:cs="Times New Roman"/>
              </w:rPr>
            </w:pPr>
            <w:r w:rsidRPr="00E86802">
              <w:rPr>
                <w:rFonts w:eastAsia="Times New Roman" w:cs="Times New Roman"/>
              </w:rPr>
              <w:t>0</w:t>
            </w:r>
          </w:p>
        </w:tc>
        <w:tc>
          <w:tcPr>
            <w:tcW w:w="1378" w:type="dxa"/>
            <w:tcBorders>
              <w:top w:val="nil"/>
              <w:left w:val="nil"/>
              <w:bottom w:val="single" w:sz="4" w:space="0" w:color="auto"/>
              <w:right w:val="single" w:sz="4" w:space="0" w:color="auto"/>
            </w:tcBorders>
            <w:shd w:val="clear" w:color="auto" w:fill="auto"/>
            <w:vAlign w:val="center"/>
          </w:tcPr>
          <w:p w:rsidR="003745BF" w:rsidRPr="00E86802" w:rsidRDefault="003745BF" w:rsidP="004775FD">
            <w:pPr>
              <w:spacing w:after="120" w:line="0" w:lineRule="atLeast"/>
              <w:jc w:val="center"/>
              <w:rPr>
                <w:rFonts w:eastAsia="Times New Roman" w:cs="Times New Roman"/>
              </w:rPr>
            </w:pPr>
            <w:r w:rsidRPr="00E86802">
              <w:rPr>
                <w:rFonts w:eastAsia="Times New Roman" w:cs="Times New Roman"/>
              </w:rPr>
              <w:t>0</w:t>
            </w:r>
          </w:p>
        </w:tc>
        <w:tc>
          <w:tcPr>
            <w:tcW w:w="1173" w:type="dxa"/>
            <w:tcBorders>
              <w:top w:val="nil"/>
              <w:left w:val="nil"/>
              <w:bottom w:val="single" w:sz="4" w:space="0" w:color="auto"/>
              <w:right w:val="single" w:sz="4" w:space="0" w:color="auto"/>
            </w:tcBorders>
            <w:shd w:val="clear" w:color="auto" w:fill="auto"/>
            <w:vAlign w:val="center"/>
          </w:tcPr>
          <w:p w:rsidR="003745BF" w:rsidRPr="00E86802" w:rsidRDefault="003745BF" w:rsidP="004775FD">
            <w:pPr>
              <w:spacing w:after="120" w:line="0" w:lineRule="atLeast"/>
              <w:jc w:val="center"/>
              <w:rPr>
                <w:rFonts w:eastAsia="Times New Roman" w:cs="Times New Roman"/>
              </w:rPr>
            </w:pPr>
            <w:r w:rsidRPr="00E86802">
              <w:rPr>
                <w:rFonts w:eastAsia="Times New Roman" w:cs="Times New Roman"/>
              </w:rPr>
              <w:t>0</w:t>
            </w:r>
          </w:p>
        </w:tc>
        <w:tc>
          <w:tcPr>
            <w:tcW w:w="1276" w:type="dxa"/>
            <w:tcBorders>
              <w:top w:val="nil"/>
              <w:left w:val="nil"/>
              <w:bottom w:val="single" w:sz="4" w:space="0" w:color="auto"/>
              <w:right w:val="single" w:sz="4" w:space="0" w:color="auto"/>
            </w:tcBorders>
            <w:shd w:val="clear" w:color="auto" w:fill="auto"/>
            <w:vAlign w:val="center"/>
          </w:tcPr>
          <w:p w:rsidR="003745BF" w:rsidRPr="00E86802" w:rsidRDefault="003745BF" w:rsidP="004775FD">
            <w:pPr>
              <w:spacing w:after="120" w:line="0" w:lineRule="atLeast"/>
              <w:jc w:val="center"/>
              <w:rPr>
                <w:rFonts w:eastAsia="Times New Roman" w:cs="Times New Roman"/>
              </w:rPr>
            </w:pPr>
            <w:r w:rsidRPr="00E86802">
              <w:rPr>
                <w:rFonts w:eastAsia="Times New Roman" w:cs="Times New Roman"/>
              </w:rPr>
              <w:t>0</w:t>
            </w:r>
          </w:p>
        </w:tc>
      </w:tr>
      <w:tr w:rsidR="003745BF" w:rsidRPr="00E86802" w:rsidTr="004775FD">
        <w:trPr>
          <w:trHeight w:val="288"/>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3745BF" w:rsidRPr="00E86802" w:rsidRDefault="003745BF" w:rsidP="004775FD">
            <w:pPr>
              <w:spacing w:after="120" w:line="0" w:lineRule="atLeast"/>
              <w:ind w:firstLineChars="100" w:firstLine="220"/>
              <w:jc w:val="center"/>
              <w:rPr>
                <w:rFonts w:eastAsia="Times New Roman" w:cs="Times New Roman"/>
              </w:rPr>
            </w:pPr>
            <w:r w:rsidRPr="00E86802">
              <w:rPr>
                <w:rFonts w:eastAsia="Helvetica,Times New Roman" w:cs="Helvetica,Times New Roman"/>
              </w:rPr>
              <w:t>Siena</w:t>
            </w:r>
          </w:p>
        </w:tc>
        <w:tc>
          <w:tcPr>
            <w:tcW w:w="992" w:type="dxa"/>
            <w:tcBorders>
              <w:top w:val="nil"/>
              <w:left w:val="nil"/>
              <w:bottom w:val="single" w:sz="4" w:space="0" w:color="auto"/>
              <w:right w:val="single" w:sz="4" w:space="0" w:color="auto"/>
            </w:tcBorders>
            <w:shd w:val="clear" w:color="auto" w:fill="auto"/>
            <w:vAlign w:val="center"/>
          </w:tcPr>
          <w:p w:rsidR="003745BF" w:rsidRPr="00E86802" w:rsidRDefault="003745BF" w:rsidP="004775FD">
            <w:pPr>
              <w:spacing w:after="120" w:line="0" w:lineRule="atLeast"/>
              <w:jc w:val="center"/>
              <w:rPr>
                <w:rFonts w:eastAsia="Times New Roman" w:cs="Times New Roman"/>
              </w:rPr>
            </w:pPr>
            <w:r w:rsidRPr="00E86802">
              <w:rPr>
                <w:rFonts w:eastAsia="Times New Roman" w:cs="Times New Roman"/>
              </w:rPr>
              <w:t>278</w:t>
            </w:r>
          </w:p>
        </w:tc>
        <w:tc>
          <w:tcPr>
            <w:tcW w:w="1378" w:type="dxa"/>
            <w:tcBorders>
              <w:top w:val="nil"/>
              <w:left w:val="nil"/>
              <w:bottom w:val="single" w:sz="4" w:space="0" w:color="auto"/>
              <w:right w:val="single" w:sz="4" w:space="0" w:color="auto"/>
            </w:tcBorders>
            <w:shd w:val="clear" w:color="auto" w:fill="auto"/>
            <w:vAlign w:val="center"/>
          </w:tcPr>
          <w:p w:rsidR="003745BF" w:rsidRPr="00E86802" w:rsidRDefault="003745BF" w:rsidP="004775FD">
            <w:pPr>
              <w:spacing w:after="120" w:line="0" w:lineRule="atLeast"/>
              <w:jc w:val="center"/>
              <w:rPr>
                <w:rFonts w:eastAsia="Times New Roman" w:cs="Times New Roman"/>
              </w:rPr>
            </w:pPr>
            <w:r w:rsidRPr="00E86802">
              <w:rPr>
                <w:rFonts w:eastAsia="Times New Roman" w:cs="Times New Roman"/>
              </w:rPr>
              <w:t>254</w:t>
            </w:r>
          </w:p>
        </w:tc>
        <w:tc>
          <w:tcPr>
            <w:tcW w:w="1173" w:type="dxa"/>
            <w:tcBorders>
              <w:top w:val="nil"/>
              <w:left w:val="nil"/>
              <w:bottom w:val="single" w:sz="4" w:space="0" w:color="auto"/>
              <w:right w:val="single" w:sz="4" w:space="0" w:color="auto"/>
            </w:tcBorders>
            <w:shd w:val="clear" w:color="auto" w:fill="auto"/>
            <w:vAlign w:val="center"/>
          </w:tcPr>
          <w:p w:rsidR="003745BF" w:rsidRPr="00E86802" w:rsidRDefault="003745BF" w:rsidP="004775FD">
            <w:pPr>
              <w:spacing w:after="120" w:line="0" w:lineRule="atLeast"/>
              <w:jc w:val="center"/>
              <w:rPr>
                <w:rFonts w:eastAsia="Times New Roman" w:cs="Times New Roman"/>
              </w:rPr>
            </w:pPr>
            <w:r w:rsidRPr="00E86802">
              <w:rPr>
                <w:rFonts w:eastAsia="Times New Roman" w:cs="Times New Roman"/>
              </w:rPr>
              <w:t>248</w:t>
            </w:r>
          </w:p>
        </w:tc>
        <w:tc>
          <w:tcPr>
            <w:tcW w:w="1276" w:type="dxa"/>
            <w:tcBorders>
              <w:top w:val="nil"/>
              <w:left w:val="nil"/>
              <w:bottom w:val="single" w:sz="4" w:space="0" w:color="auto"/>
              <w:right w:val="single" w:sz="4" w:space="0" w:color="auto"/>
            </w:tcBorders>
            <w:shd w:val="clear" w:color="auto" w:fill="auto"/>
            <w:vAlign w:val="center"/>
          </w:tcPr>
          <w:p w:rsidR="003745BF" w:rsidRPr="00E86802" w:rsidRDefault="003745BF" w:rsidP="004775FD">
            <w:pPr>
              <w:spacing w:after="120" w:line="0" w:lineRule="atLeast"/>
              <w:jc w:val="center"/>
              <w:rPr>
                <w:rFonts w:eastAsia="Times New Roman" w:cs="Times New Roman"/>
              </w:rPr>
            </w:pPr>
            <w:r w:rsidRPr="00E86802">
              <w:rPr>
                <w:rFonts w:eastAsia="Times New Roman" w:cs="Times New Roman"/>
              </w:rPr>
              <w:t>780</w:t>
            </w:r>
          </w:p>
        </w:tc>
      </w:tr>
    </w:tbl>
    <w:p w:rsidR="003745BF" w:rsidRDefault="003745BF" w:rsidP="00E86802">
      <w:pPr>
        <w:spacing w:after="120" w:line="0" w:lineRule="atLeast"/>
        <w:jc w:val="both"/>
      </w:pPr>
    </w:p>
    <w:p w:rsidR="00FA2926" w:rsidRPr="00E86802" w:rsidRDefault="00616294" w:rsidP="00E86802">
      <w:pPr>
        <w:spacing w:after="120" w:line="0" w:lineRule="atLeast"/>
        <w:jc w:val="both"/>
      </w:pPr>
      <w:r w:rsidRPr="00E86802">
        <w:t>Con un semplice calcolo percentuale è possibile anche stabilire il numero complessivo (in valore assoluto) degli studenti delle classi terze, quarte e quinte che potrebbero partecipare all’alternanza scuola-lavoro nelle dimore storiche oggetto dell’indagine (v. Tabella 3). Come specificato in precedenz</w:t>
      </w:r>
      <w:r w:rsidR="005418C2" w:rsidRPr="00E86802">
        <w:t>a, le provincie con più studenti</w:t>
      </w:r>
      <w:r w:rsidRPr="00E86802">
        <w:t xml:space="preserve"> da coinvolgere sono: </w:t>
      </w:r>
      <w:r w:rsidR="003844A3" w:rsidRPr="00E86802">
        <w:t>Firenze con 960 studenti, Lucca con 39</w:t>
      </w:r>
      <w:r w:rsidR="00FA2926" w:rsidRPr="00E86802">
        <w:t>0, Siena con 780. Pertanto, le 98 dimore storiche potrebbero ospitare complessivamente quasi 3</w:t>
      </w:r>
      <w:r w:rsidR="005418C2" w:rsidRPr="00E86802">
        <w:t>.</w:t>
      </w:r>
      <w:r w:rsidR="00FA2926" w:rsidRPr="00E86802">
        <w:t xml:space="preserve">000 studenti iscritti agli ultimi tre anni degli istituti di II grado della regione (su 88.460 totali). </w:t>
      </w:r>
    </w:p>
    <w:p w:rsidR="00FA2926" w:rsidRPr="00E86802" w:rsidRDefault="00FA2926" w:rsidP="00E86802">
      <w:pPr>
        <w:spacing w:after="120" w:line="0" w:lineRule="atLeast"/>
        <w:jc w:val="both"/>
      </w:pPr>
      <w:r w:rsidRPr="00E86802">
        <w:t xml:space="preserve">Inoltre, come già evidenziato in precedenza, la durata dei percorsi di alternanza scuola-lavoro dipende dalla tipologia di istituto secondario di II grado coinvolti: per i tecnici e professionali sono previste almeno 400 ore a studente da spalmare nel corso dell’ultimo triennio, per i licei 200 ore. Pertanto, è necessario ulteriormente approfondire questo terzo livello di indagine, con l’intento di stabilire quanti studenti toscani delle classi terze, quarte e quinte coinvolgere in ciascuna delle 98 dimore storiche. </w:t>
      </w:r>
    </w:p>
    <w:p w:rsidR="00830CDD" w:rsidRPr="00E86802" w:rsidRDefault="00602478" w:rsidP="00E86802">
      <w:pPr>
        <w:spacing w:after="120" w:line="0" w:lineRule="atLeast"/>
        <w:jc w:val="both"/>
      </w:pPr>
      <w:r w:rsidRPr="00E86802">
        <w:t>Naturalmente, si tratta di risultati</w:t>
      </w:r>
      <w:r w:rsidR="00830CDD" w:rsidRPr="00E86802">
        <w:t xml:space="preserve"> soltanto parziali e circoscritti </w:t>
      </w:r>
      <w:r w:rsidR="008765A2" w:rsidRPr="00E86802">
        <w:t>ad</w:t>
      </w:r>
      <w:r w:rsidR="00830CDD" w:rsidRPr="00E86802">
        <w:t xml:space="preserve"> un campione ridotto in termini numerici e geografici. Tuttavia, questo terzo livello di indagine è molto interessante perché consente di verificare a livello quantitativo l’effettiva potenzialità dei percorsi di alternanza scuola-lavoro presso le dimore storiche toscane. Inoltre, bisogna tener conto, come si vedrà a breve, che ciascuno di questi beni culturali fornisce una serie di servizi e di attività che potrebbero garantire ad ogni studente partecipant</w:t>
      </w:r>
      <w:r w:rsidR="008765A2" w:rsidRPr="00E86802">
        <w:t>e</w:t>
      </w:r>
      <w:r w:rsidR="005418C2" w:rsidRPr="00E86802">
        <w:t xml:space="preserve"> </w:t>
      </w:r>
      <w:r w:rsidR="00830CDD" w:rsidRPr="00E86802">
        <w:t>non solo di acquisire competenze tecniche e trasversali, ma anche di entrare in contatto con un settore, quello dell’economia della cultura, del turismo eco-sostenibile ed esperienziale, con elevate potenzialità occupazionali</w:t>
      </w:r>
      <w:r w:rsidR="005418C2" w:rsidRPr="00E86802">
        <w:rPr>
          <w:rStyle w:val="Rimandonotaapidipagina"/>
        </w:rPr>
        <w:footnoteReference w:id="10"/>
      </w:r>
      <w:r w:rsidR="00830CDD" w:rsidRPr="00E86802">
        <w:t xml:space="preserve">. </w:t>
      </w:r>
      <w:r w:rsidR="00516EBB" w:rsidRPr="00E86802">
        <w:t>È</w:t>
      </w:r>
      <w:r w:rsidR="00830CDD" w:rsidRPr="00E86802">
        <w:t xml:space="preserve"> necessario, quindi, introdurre un quarto livello di indagine volto a rilevare a livello qualitativo le potenziali competenze tecniche e trasversali da acquisire tramite i percorsi di alternanza scuola-lavoro pr</w:t>
      </w:r>
      <w:r w:rsidR="00EA6217" w:rsidRPr="00E86802">
        <w:t>esso le dimore storiche toscane del campione.</w:t>
      </w:r>
    </w:p>
    <w:p w:rsidR="00830CDD" w:rsidRPr="00E86802" w:rsidRDefault="00830CDD" w:rsidP="00E86802">
      <w:pPr>
        <w:spacing w:after="120" w:line="0" w:lineRule="atLeast"/>
        <w:jc w:val="both"/>
        <w:rPr>
          <w:i/>
        </w:rPr>
      </w:pPr>
      <w:r w:rsidRPr="00E86802">
        <w:rPr>
          <w:i/>
        </w:rPr>
        <w:lastRenderedPageBreak/>
        <w:t xml:space="preserve">3.4 Quarto livello di indagine </w:t>
      </w:r>
    </w:p>
    <w:p w:rsidR="00830CDD" w:rsidRPr="00E86802" w:rsidRDefault="00830CDD" w:rsidP="00E86802">
      <w:pPr>
        <w:spacing w:after="120" w:line="0" w:lineRule="atLeast"/>
        <w:jc w:val="both"/>
      </w:pPr>
      <w:r w:rsidRPr="00E86802">
        <w:t xml:space="preserve">Una volta esaminato il grado di corrispondenza tra l’offerta dei servizi delle 98 dimore storiche toscane </w:t>
      </w:r>
      <w:r w:rsidR="00EA6217" w:rsidRPr="00E86802">
        <w:t xml:space="preserve">identificate </w:t>
      </w:r>
      <w:r w:rsidRPr="00E86802">
        <w:t xml:space="preserve">e </w:t>
      </w:r>
      <w:r w:rsidR="002D0B67" w:rsidRPr="00E86802">
        <w:t xml:space="preserve">la domanda di studenti da coinvolgere nei percorsi dell’alternanza scuola-lavoro, non resta che ricavare le possibili competenze tecniche e trasversali da apprendere attraverso la partecipazione a percorsi di alternanza scuola-lavoro presso le dimore storiche. Naturalmente, queste </w:t>
      </w:r>
      <w:r w:rsidR="002D0B67" w:rsidRPr="00E86802">
        <w:rPr>
          <w:i/>
        </w:rPr>
        <w:t xml:space="preserve">skills </w:t>
      </w:r>
      <w:r w:rsidR="002D0B67" w:rsidRPr="00E86802">
        <w:t>sono il risultato delle attività offerte dalle 98 dimore storiche e rientranti nelle sette macro-categorie individuate al paragrafo 3.2.</w:t>
      </w:r>
      <w:r w:rsidR="00BE7A8B" w:rsidRPr="00E86802">
        <w:t xml:space="preserve"> </w:t>
      </w:r>
    </w:p>
    <w:p w:rsidR="00312A8F" w:rsidRPr="00E86802" w:rsidRDefault="0085687E" w:rsidP="00E86802">
      <w:pPr>
        <w:spacing w:after="120" w:line="0" w:lineRule="atLeast"/>
        <w:jc w:val="center"/>
        <w:rPr>
          <w:i/>
        </w:rPr>
      </w:pPr>
      <w:r>
        <w:rPr>
          <w:i/>
        </w:rPr>
        <w:t xml:space="preserve">Tabella 3 </w:t>
      </w:r>
      <w:r w:rsidR="00312A8F" w:rsidRPr="00E86802">
        <w:rPr>
          <w:i/>
        </w:rPr>
        <w:t>“Elenco Competenze Tecniche e Professionali”</w:t>
      </w:r>
    </w:p>
    <w:tbl>
      <w:tblPr>
        <w:tblW w:w="9260" w:type="dxa"/>
        <w:jc w:val="center"/>
        <w:tblCellMar>
          <w:left w:w="70" w:type="dxa"/>
          <w:right w:w="70" w:type="dxa"/>
        </w:tblCellMar>
        <w:tblLook w:val="04A0" w:firstRow="1" w:lastRow="0" w:firstColumn="1" w:lastColumn="0" w:noHBand="0" w:noVBand="1"/>
      </w:tblPr>
      <w:tblGrid>
        <w:gridCol w:w="2366"/>
        <w:gridCol w:w="6894"/>
      </w:tblGrid>
      <w:tr w:rsidR="00312A8F" w:rsidRPr="00E86802" w:rsidTr="00312A8F">
        <w:trPr>
          <w:trHeight w:val="300"/>
          <w:jc w:val="center"/>
        </w:trPr>
        <w:tc>
          <w:tcPr>
            <w:tcW w:w="9260" w:type="dxa"/>
            <w:gridSpan w:val="2"/>
            <w:tcBorders>
              <w:top w:val="single" w:sz="4" w:space="0" w:color="auto"/>
              <w:left w:val="single" w:sz="4" w:space="0" w:color="auto"/>
              <w:bottom w:val="single" w:sz="4" w:space="0" w:color="auto"/>
              <w:right w:val="single" w:sz="4" w:space="0" w:color="auto"/>
            </w:tcBorders>
            <w:shd w:val="clear" w:color="000000" w:fill="FFC000"/>
            <w:vAlign w:val="center"/>
            <w:hideMark/>
          </w:tcPr>
          <w:p w:rsidR="00312A8F" w:rsidRPr="00E86802" w:rsidRDefault="00312A8F" w:rsidP="00E86802">
            <w:pPr>
              <w:spacing w:after="120" w:line="0" w:lineRule="atLeast"/>
              <w:jc w:val="center"/>
              <w:rPr>
                <w:rFonts w:eastAsia="Times New Roman" w:cs="Times New Roman"/>
                <w:b/>
                <w:bCs/>
                <w:color w:val="000000"/>
              </w:rPr>
            </w:pPr>
            <w:r w:rsidRPr="00E86802">
              <w:rPr>
                <w:rFonts w:eastAsia="Times New Roman" w:cs="Times New Roman"/>
                <w:b/>
                <w:bCs/>
                <w:color w:val="000000"/>
              </w:rPr>
              <w:t>Elenco Competenze Tecniche e Professionali</w:t>
            </w:r>
          </w:p>
        </w:tc>
      </w:tr>
      <w:tr w:rsidR="00312A8F" w:rsidRPr="00E86802" w:rsidTr="00312A8F">
        <w:trPr>
          <w:trHeight w:val="300"/>
          <w:jc w:val="center"/>
        </w:trPr>
        <w:tc>
          <w:tcPr>
            <w:tcW w:w="2366" w:type="dxa"/>
            <w:tcBorders>
              <w:top w:val="nil"/>
              <w:left w:val="single" w:sz="4" w:space="0" w:color="auto"/>
              <w:bottom w:val="single" w:sz="4" w:space="0" w:color="auto"/>
              <w:right w:val="single" w:sz="4" w:space="0" w:color="auto"/>
            </w:tcBorders>
            <w:shd w:val="clear" w:color="auto" w:fill="auto"/>
            <w:noWrap/>
            <w:vAlign w:val="center"/>
            <w:hideMark/>
          </w:tcPr>
          <w:p w:rsidR="00312A8F" w:rsidRPr="00E86802" w:rsidRDefault="00312A8F" w:rsidP="00E86802">
            <w:pPr>
              <w:spacing w:after="120" w:line="0" w:lineRule="atLeast"/>
              <w:jc w:val="center"/>
              <w:rPr>
                <w:rFonts w:eastAsia="Times New Roman" w:cs="Times New Roman"/>
                <w:b/>
                <w:bCs/>
                <w:color w:val="000000"/>
              </w:rPr>
            </w:pPr>
            <w:r w:rsidRPr="00E86802">
              <w:rPr>
                <w:rFonts w:eastAsia="Times New Roman" w:cs="Times New Roman"/>
                <w:b/>
                <w:bCs/>
                <w:color w:val="000000"/>
              </w:rPr>
              <w:t>Storytelling</w:t>
            </w:r>
          </w:p>
        </w:tc>
        <w:tc>
          <w:tcPr>
            <w:tcW w:w="6894" w:type="dxa"/>
            <w:tcBorders>
              <w:top w:val="nil"/>
              <w:left w:val="nil"/>
              <w:bottom w:val="single" w:sz="4" w:space="0" w:color="auto"/>
              <w:right w:val="single" w:sz="4" w:space="0" w:color="auto"/>
            </w:tcBorders>
            <w:shd w:val="clear" w:color="auto" w:fill="auto"/>
            <w:noWrap/>
            <w:vAlign w:val="center"/>
            <w:hideMark/>
          </w:tcPr>
          <w:p w:rsidR="00312A8F" w:rsidRPr="00E86802" w:rsidRDefault="00312A8F" w:rsidP="00E86802">
            <w:pPr>
              <w:spacing w:after="120" w:line="0" w:lineRule="atLeast"/>
              <w:jc w:val="center"/>
              <w:rPr>
                <w:rFonts w:eastAsia="Times New Roman" w:cs="Times New Roman"/>
                <w:color w:val="000000"/>
              </w:rPr>
            </w:pPr>
            <w:r w:rsidRPr="00E86802">
              <w:rPr>
                <w:rFonts w:eastAsia="Times New Roman" w:cs="Times New Roman"/>
                <w:color w:val="000000"/>
              </w:rPr>
              <w:t>Interazione con il pubblico e conoscenza delle lingue straniere</w:t>
            </w:r>
          </w:p>
        </w:tc>
      </w:tr>
      <w:tr w:rsidR="00312A8F" w:rsidRPr="00E86802" w:rsidTr="00312A8F">
        <w:trPr>
          <w:trHeight w:val="300"/>
          <w:jc w:val="center"/>
        </w:trPr>
        <w:tc>
          <w:tcPr>
            <w:tcW w:w="2366" w:type="dxa"/>
            <w:tcBorders>
              <w:top w:val="nil"/>
              <w:left w:val="single" w:sz="4" w:space="0" w:color="auto"/>
              <w:bottom w:val="single" w:sz="4" w:space="0" w:color="auto"/>
              <w:right w:val="single" w:sz="4" w:space="0" w:color="auto"/>
            </w:tcBorders>
            <w:shd w:val="clear" w:color="auto" w:fill="auto"/>
            <w:noWrap/>
            <w:vAlign w:val="center"/>
            <w:hideMark/>
          </w:tcPr>
          <w:p w:rsidR="00312A8F" w:rsidRPr="00E86802" w:rsidRDefault="00312A8F" w:rsidP="00E86802">
            <w:pPr>
              <w:spacing w:after="120" w:line="0" w:lineRule="atLeast"/>
              <w:jc w:val="center"/>
              <w:rPr>
                <w:rFonts w:eastAsia="Times New Roman" w:cs="Times New Roman"/>
                <w:b/>
                <w:bCs/>
                <w:color w:val="000000"/>
              </w:rPr>
            </w:pPr>
            <w:r w:rsidRPr="00E86802">
              <w:rPr>
                <w:rFonts w:eastAsia="Times New Roman" w:cs="Times New Roman"/>
                <w:b/>
                <w:bCs/>
                <w:color w:val="000000"/>
              </w:rPr>
              <w:t>Turismo eco-sostenibile</w:t>
            </w:r>
          </w:p>
        </w:tc>
        <w:tc>
          <w:tcPr>
            <w:tcW w:w="6894" w:type="dxa"/>
            <w:tcBorders>
              <w:top w:val="nil"/>
              <w:left w:val="nil"/>
              <w:bottom w:val="single" w:sz="4" w:space="0" w:color="auto"/>
              <w:right w:val="single" w:sz="4" w:space="0" w:color="auto"/>
            </w:tcBorders>
            <w:shd w:val="clear" w:color="auto" w:fill="auto"/>
            <w:noWrap/>
            <w:vAlign w:val="center"/>
            <w:hideMark/>
          </w:tcPr>
          <w:p w:rsidR="00312A8F" w:rsidRPr="00E86802" w:rsidRDefault="00312A8F" w:rsidP="00E86802">
            <w:pPr>
              <w:spacing w:after="120" w:line="0" w:lineRule="atLeast"/>
              <w:jc w:val="center"/>
              <w:rPr>
                <w:rFonts w:eastAsia="Times New Roman" w:cs="Times New Roman"/>
                <w:color w:val="000000"/>
              </w:rPr>
            </w:pPr>
            <w:r w:rsidRPr="00E86802">
              <w:rPr>
                <w:rFonts w:eastAsia="Times New Roman" w:cs="Times New Roman"/>
                <w:color w:val="000000"/>
              </w:rPr>
              <w:t>Capacità di cura dell'ambiente</w:t>
            </w:r>
          </w:p>
        </w:tc>
      </w:tr>
      <w:tr w:rsidR="00312A8F" w:rsidRPr="00C72BBA" w:rsidTr="00312A8F">
        <w:trPr>
          <w:trHeight w:val="300"/>
          <w:jc w:val="center"/>
        </w:trPr>
        <w:tc>
          <w:tcPr>
            <w:tcW w:w="2366" w:type="dxa"/>
            <w:tcBorders>
              <w:top w:val="nil"/>
              <w:left w:val="single" w:sz="4" w:space="0" w:color="auto"/>
              <w:bottom w:val="single" w:sz="4" w:space="0" w:color="auto"/>
              <w:right w:val="single" w:sz="4" w:space="0" w:color="auto"/>
            </w:tcBorders>
            <w:shd w:val="clear" w:color="auto" w:fill="auto"/>
            <w:noWrap/>
            <w:vAlign w:val="center"/>
            <w:hideMark/>
          </w:tcPr>
          <w:p w:rsidR="00312A8F" w:rsidRPr="00E86802" w:rsidRDefault="00312A8F" w:rsidP="00E86802">
            <w:pPr>
              <w:spacing w:after="120" w:line="0" w:lineRule="atLeast"/>
              <w:jc w:val="center"/>
              <w:rPr>
                <w:rFonts w:eastAsia="Times New Roman" w:cs="Times New Roman"/>
                <w:b/>
                <w:bCs/>
                <w:color w:val="000000"/>
              </w:rPr>
            </w:pPr>
            <w:r w:rsidRPr="00E86802">
              <w:rPr>
                <w:rFonts w:eastAsia="Times New Roman" w:cs="Times New Roman"/>
                <w:b/>
                <w:bCs/>
                <w:color w:val="000000"/>
              </w:rPr>
              <w:t>Turismo esper</w:t>
            </w:r>
            <w:r w:rsidR="00516EBB">
              <w:rPr>
                <w:rFonts w:eastAsia="Times New Roman" w:cs="Times New Roman"/>
                <w:b/>
                <w:bCs/>
                <w:color w:val="000000"/>
              </w:rPr>
              <w:t>i</w:t>
            </w:r>
            <w:r w:rsidRPr="00E86802">
              <w:rPr>
                <w:rFonts w:eastAsia="Times New Roman" w:cs="Times New Roman"/>
                <w:b/>
                <w:bCs/>
                <w:color w:val="000000"/>
              </w:rPr>
              <w:t>enziale</w:t>
            </w:r>
          </w:p>
        </w:tc>
        <w:tc>
          <w:tcPr>
            <w:tcW w:w="6894" w:type="dxa"/>
            <w:tcBorders>
              <w:top w:val="nil"/>
              <w:left w:val="nil"/>
              <w:bottom w:val="single" w:sz="4" w:space="0" w:color="auto"/>
              <w:right w:val="single" w:sz="4" w:space="0" w:color="auto"/>
            </w:tcBorders>
            <w:shd w:val="clear" w:color="auto" w:fill="auto"/>
            <w:noWrap/>
            <w:vAlign w:val="center"/>
            <w:hideMark/>
          </w:tcPr>
          <w:p w:rsidR="00312A8F" w:rsidRPr="00E86802" w:rsidRDefault="00312A8F" w:rsidP="00E86802">
            <w:pPr>
              <w:spacing w:after="120" w:line="0" w:lineRule="atLeast"/>
              <w:jc w:val="center"/>
              <w:rPr>
                <w:rFonts w:eastAsia="Times New Roman" w:cs="Times New Roman"/>
                <w:color w:val="000000"/>
                <w:lang w:val="en-GB"/>
              </w:rPr>
            </w:pPr>
            <w:r w:rsidRPr="00E86802">
              <w:rPr>
                <w:rFonts w:eastAsia="Times New Roman" w:cs="Times New Roman"/>
                <w:color w:val="000000"/>
                <w:lang w:val="en-GB"/>
              </w:rPr>
              <w:t>Social Media Management and Communication</w:t>
            </w:r>
          </w:p>
        </w:tc>
      </w:tr>
      <w:tr w:rsidR="00312A8F" w:rsidRPr="00E86802" w:rsidTr="00312A8F">
        <w:trPr>
          <w:trHeight w:val="300"/>
          <w:jc w:val="center"/>
        </w:trPr>
        <w:tc>
          <w:tcPr>
            <w:tcW w:w="2366" w:type="dxa"/>
            <w:tcBorders>
              <w:top w:val="nil"/>
              <w:left w:val="single" w:sz="4" w:space="0" w:color="auto"/>
              <w:bottom w:val="single" w:sz="4" w:space="0" w:color="auto"/>
              <w:right w:val="single" w:sz="4" w:space="0" w:color="auto"/>
            </w:tcBorders>
            <w:shd w:val="clear" w:color="auto" w:fill="auto"/>
            <w:noWrap/>
            <w:vAlign w:val="center"/>
            <w:hideMark/>
          </w:tcPr>
          <w:p w:rsidR="00312A8F" w:rsidRPr="00E86802" w:rsidRDefault="00312A8F" w:rsidP="00E86802">
            <w:pPr>
              <w:spacing w:after="120" w:line="0" w:lineRule="atLeast"/>
              <w:jc w:val="center"/>
              <w:rPr>
                <w:rFonts w:eastAsia="Times New Roman" w:cs="Times New Roman"/>
                <w:b/>
                <w:bCs/>
                <w:color w:val="000000"/>
              </w:rPr>
            </w:pPr>
            <w:r w:rsidRPr="00E86802">
              <w:rPr>
                <w:rFonts w:eastAsia="Times New Roman" w:cs="Times New Roman"/>
                <w:b/>
                <w:bCs/>
                <w:color w:val="000000"/>
              </w:rPr>
              <w:t>Organizzazione eventi</w:t>
            </w:r>
          </w:p>
        </w:tc>
        <w:tc>
          <w:tcPr>
            <w:tcW w:w="6894" w:type="dxa"/>
            <w:tcBorders>
              <w:top w:val="nil"/>
              <w:left w:val="nil"/>
              <w:bottom w:val="single" w:sz="4" w:space="0" w:color="auto"/>
              <w:right w:val="single" w:sz="4" w:space="0" w:color="auto"/>
            </w:tcBorders>
            <w:shd w:val="clear" w:color="auto" w:fill="auto"/>
            <w:noWrap/>
            <w:vAlign w:val="center"/>
            <w:hideMark/>
          </w:tcPr>
          <w:p w:rsidR="00312A8F" w:rsidRPr="00E86802" w:rsidRDefault="00312A8F" w:rsidP="00E86802">
            <w:pPr>
              <w:spacing w:after="120" w:line="0" w:lineRule="atLeast"/>
              <w:jc w:val="center"/>
              <w:rPr>
                <w:rFonts w:eastAsia="Times New Roman" w:cs="Times New Roman"/>
                <w:color w:val="000000"/>
              </w:rPr>
            </w:pPr>
            <w:r w:rsidRPr="00E86802">
              <w:rPr>
                <w:rFonts w:eastAsia="Times New Roman" w:cs="Times New Roman"/>
                <w:color w:val="000000"/>
              </w:rPr>
              <w:t>Saper creare ed organizzare eventi di carattere commerciale e culturale</w:t>
            </w:r>
          </w:p>
        </w:tc>
      </w:tr>
      <w:tr w:rsidR="00312A8F" w:rsidRPr="00E86802" w:rsidTr="00312A8F">
        <w:trPr>
          <w:trHeight w:val="300"/>
          <w:jc w:val="center"/>
        </w:trPr>
        <w:tc>
          <w:tcPr>
            <w:tcW w:w="2366" w:type="dxa"/>
            <w:tcBorders>
              <w:top w:val="nil"/>
              <w:left w:val="single" w:sz="4" w:space="0" w:color="auto"/>
              <w:bottom w:val="single" w:sz="4" w:space="0" w:color="auto"/>
              <w:right w:val="single" w:sz="4" w:space="0" w:color="auto"/>
            </w:tcBorders>
            <w:shd w:val="clear" w:color="auto" w:fill="auto"/>
            <w:noWrap/>
            <w:vAlign w:val="center"/>
            <w:hideMark/>
          </w:tcPr>
          <w:p w:rsidR="00312A8F" w:rsidRPr="00E86802" w:rsidRDefault="00312A8F" w:rsidP="00E86802">
            <w:pPr>
              <w:spacing w:after="120" w:line="0" w:lineRule="atLeast"/>
              <w:jc w:val="center"/>
              <w:rPr>
                <w:rFonts w:eastAsia="Times New Roman" w:cs="Times New Roman"/>
                <w:b/>
                <w:bCs/>
                <w:color w:val="000000"/>
              </w:rPr>
            </w:pPr>
            <w:r w:rsidRPr="00E86802">
              <w:rPr>
                <w:rFonts w:eastAsia="Times New Roman" w:cs="Times New Roman"/>
                <w:b/>
                <w:bCs/>
                <w:color w:val="000000"/>
              </w:rPr>
              <w:t>Hospitality</w:t>
            </w:r>
          </w:p>
        </w:tc>
        <w:tc>
          <w:tcPr>
            <w:tcW w:w="6894" w:type="dxa"/>
            <w:tcBorders>
              <w:top w:val="nil"/>
              <w:left w:val="nil"/>
              <w:bottom w:val="single" w:sz="4" w:space="0" w:color="auto"/>
              <w:right w:val="single" w:sz="4" w:space="0" w:color="auto"/>
            </w:tcBorders>
            <w:shd w:val="clear" w:color="auto" w:fill="auto"/>
            <w:noWrap/>
            <w:vAlign w:val="center"/>
            <w:hideMark/>
          </w:tcPr>
          <w:p w:rsidR="00312A8F" w:rsidRPr="00E86802" w:rsidRDefault="00312A8F" w:rsidP="00E86802">
            <w:pPr>
              <w:spacing w:after="120" w:line="0" w:lineRule="atLeast"/>
              <w:jc w:val="center"/>
              <w:rPr>
                <w:rFonts w:eastAsia="Times New Roman" w:cs="Times New Roman"/>
                <w:color w:val="000000"/>
              </w:rPr>
            </w:pPr>
            <w:r w:rsidRPr="00E86802">
              <w:rPr>
                <w:rFonts w:eastAsia="Times New Roman" w:cs="Times New Roman"/>
                <w:color w:val="000000"/>
              </w:rPr>
              <w:t>Capacità di comunicazione efficace</w:t>
            </w:r>
          </w:p>
        </w:tc>
      </w:tr>
      <w:tr w:rsidR="00312A8F" w:rsidRPr="00E86802" w:rsidTr="00312A8F">
        <w:trPr>
          <w:trHeight w:val="300"/>
          <w:jc w:val="center"/>
        </w:trPr>
        <w:tc>
          <w:tcPr>
            <w:tcW w:w="2366" w:type="dxa"/>
            <w:tcBorders>
              <w:top w:val="nil"/>
              <w:left w:val="single" w:sz="4" w:space="0" w:color="auto"/>
              <w:bottom w:val="single" w:sz="4" w:space="0" w:color="auto"/>
              <w:right w:val="single" w:sz="4" w:space="0" w:color="auto"/>
            </w:tcBorders>
            <w:shd w:val="clear" w:color="auto" w:fill="auto"/>
            <w:noWrap/>
            <w:vAlign w:val="center"/>
            <w:hideMark/>
          </w:tcPr>
          <w:p w:rsidR="00312A8F" w:rsidRPr="00E86802" w:rsidRDefault="00312A8F" w:rsidP="00E86802">
            <w:pPr>
              <w:spacing w:after="120" w:line="0" w:lineRule="atLeast"/>
              <w:jc w:val="center"/>
              <w:rPr>
                <w:rFonts w:eastAsia="Times New Roman" w:cs="Times New Roman"/>
                <w:b/>
                <w:bCs/>
                <w:color w:val="000000"/>
              </w:rPr>
            </w:pPr>
            <w:r w:rsidRPr="00E86802">
              <w:rPr>
                <w:rFonts w:eastAsia="Times New Roman" w:cs="Times New Roman"/>
                <w:b/>
                <w:bCs/>
                <w:color w:val="000000"/>
              </w:rPr>
              <w:t>Artigianato</w:t>
            </w:r>
          </w:p>
        </w:tc>
        <w:tc>
          <w:tcPr>
            <w:tcW w:w="6894" w:type="dxa"/>
            <w:tcBorders>
              <w:top w:val="nil"/>
              <w:left w:val="nil"/>
              <w:bottom w:val="single" w:sz="4" w:space="0" w:color="auto"/>
              <w:right w:val="single" w:sz="4" w:space="0" w:color="auto"/>
            </w:tcBorders>
            <w:shd w:val="clear" w:color="auto" w:fill="auto"/>
            <w:noWrap/>
            <w:vAlign w:val="center"/>
            <w:hideMark/>
          </w:tcPr>
          <w:p w:rsidR="00312A8F" w:rsidRPr="00E86802" w:rsidRDefault="00312A8F" w:rsidP="00E86802">
            <w:pPr>
              <w:spacing w:after="120" w:line="0" w:lineRule="atLeast"/>
              <w:jc w:val="center"/>
              <w:rPr>
                <w:rFonts w:eastAsia="Times New Roman" w:cs="Times New Roman"/>
                <w:color w:val="000000"/>
              </w:rPr>
            </w:pPr>
            <w:r w:rsidRPr="00E86802">
              <w:rPr>
                <w:rFonts w:eastAsia="Times New Roman" w:cs="Times New Roman"/>
                <w:color w:val="000000"/>
              </w:rPr>
              <w:t>Sales &amp; Marketing</w:t>
            </w:r>
          </w:p>
        </w:tc>
      </w:tr>
      <w:tr w:rsidR="00312A8F" w:rsidRPr="00E86802" w:rsidTr="00312A8F">
        <w:trPr>
          <w:trHeight w:val="300"/>
          <w:jc w:val="center"/>
        </w:trPr>
        <w:tc>
          <w:tcPr>
            <w:tcW w:w="2366" w:type="dxa"/>
            <w:tcBorders>
              <w:top w:val="nil"/>
              <w:left w:val="single" w:sz="4" w:space="0" w:color="auto"/>
              <w:bottom w:val="single" w:sz="4" w:space="0" w:color="auto"/>
              <w:right w:val="single" w:sz="4" w:space="0" w:color="auto"/>
            </w:tcBorders>
            <w:shd w:val="clear" w:color="auto" w:fill="auto"/>
            <w:noWrap/>
            <w:vAlign w:val="center"/>
            <w:hideMark/>
          </w:tcPr>
          <w:p w:rsidR="00312A8F" w:rsidRPr="00E86802" w:rsidRDefault="00312A8F" w:rsidP="00E86802">
            <w:pPr>
              <w:spacing w:after="120" w:line="0" w:lineRule="atLeast"/>
              <w:jc w:val="center"/>
              <w:rPr>
                <w:rFonts w:eastAsia="Times New Roman" w:cs="Times New Roman"/>
                <w:b/>
                <w:bCs/>
                <w:color w:val="000000"/>
              </w:rPr>
            </w:pPr>
            <w:r w:rsidRPr="00E86802">
              <w:rPr>
                <w:rFonts w:eastAsia="Times New Roman" w:cs="Times New Roman"/>
                <w:b/>
                <w:bCs/>
                <w:color w:val="000000"/>
              </w:rPr>
              <w:t>Ristorazione</w:t>
            </w:r>
          </w:p>
        </w:tc>
        <w:tc>
          <w:tcPr>
            <w:tcW w:w="6894" w:type="dxa"/>
            <w:tcBorders>
              <w:top w:val="nil"/>
              <w:left w:val="nil"/>
              <w:bottom w:val="single" w:sz="4" w:space="0" w:color="auto"/>
              <w:right w:val="single" w:sz="4" w:space="0" w:color="auto"/>
            </w:tcBorders>
            <w:shd w:val="clear" w:color="auto" w:fill="auto"/>
            <w:noWrap/>
            <w:vAlign w:val="center"/>
            <w:hideMark/>
          </w:tcPr>
          <w:p w:rsidR="00312A8F" w:rsidRPr="00E86802" w:rsidRDefault="00312A8F" w:rsidP="00E86802">
            <w:pPr>
              <w:spacing w:after="120" w:line="0" w:lineRule="atLeast"/>
              <w:jc w:val="center"/>
              <w:rPr>
                <w:rFonts w:eastAsia="Times New Roman" w:cs="Times New Roman"/>
                <w:color w:val="000000"/>
              </w:rPr>
            </w:pPr>
            <w:r w:rsidRPr="00E86802">
              <w:rPr>
                <w:rFonts w:eastAsia="Times New Roman" w:cs="Times New Roman"/>
                <w:color w:val="000000"/>
              </w:rPr>
              <w:t>Abilità legate alla cucina e al servizio ai tavoli</w:t>
            </w:r>
          </w:p>
        </w:tc>
      </w:tr>
    </w:tbl>
    <w:p w:rsidR="00625ED0" w:rsidRDefault="00625ED0" w:rsidP="00E86802">
      <w:pPr>
        <w:spacing w:after="120" w:line="0" w:lineRule="atLeast"/>
        <w:jc w:val="both"/>
      </w:pPr>
    </w:p>
    <w:p w:rsidR="00625ED0" w:rsidRPr="00C72BBA" w:rsidRDefault="00625ED0" w:rsidP="00C72BBA">
      <w:pPr>
        <w:spacing w:after="120" w:line="0" w:lineRule="atLeast"/>
        <w:jc w:val="both"/>
      </w:pPr>
      <w:r>
        <w:t>Fonte: Laboratorio Erasmus+ “C</w:t>
      </w:r>
      <w:r w:rsidR="00EA6217" w:rsidRPr="00E86802">
        <w:t>antieri d’Europa”, 2016</w:t>
      </w:r>
    </w:p>
    <w:p w:rsidR="00625ED0" w:rsidRDefault="00625ED0" w:rsidP="00E86802">
      <w:pPr>
        <w:spacing w:after="120" w:line="0" w:lineRule="atLeast"/>
        <w:jc w:val="center"/>
        <w:rPr>
          <w:i/>
        </w:rPr>
      </w:pPr>
    </w:p>
    <w:p w:rsidR="00830CDD" w:rsidRPr="00E86802" w:rsidRDefault="0085687E" w:rsidP="00E86802">
      <w:pPr>
        <w:spacing w:after="120" w:line="0" w:lineRule="atLeast"/>
        <w:jc w:val="center"/>
        <w:rPr>
          <w:i/>
        </w:rPr>
      </w:pPr>
      <w:r>
        <w:rPr>
          <w:i/>
        </w:rPr>
        <w:t xml:space="preserve">Tabella 4 </w:t>
      </w:r>
      <w:r w:rsidR="00312A8F" w:rsidRPr="00E86802">
        <w:rPr>
          <w:i/>
        </w:rPr>
        <w:t>“Elenco Competenze Trasversali”</w:t>
      </w:r>
    </w:p>
    <w:tbl>
      <w:tblPr>
        <w:tblStyle w:val="Grigliatabella"/>
        <w:tblW w:w="10228" w:type="dxa"/>
        <w:tblLook w:val="04A0" w:firstRow="1" w:lastRow="0" w:firstColumn="1" w:lastColumn="0" w:noHBand="0" w:noVBand="1"/>
      </w:tblPr>
      <w:tblGrid>
        <w:gridCol w:w="1361"/>
        <w:gridCol w:w="1270"/>
        <w:gridCol w:w="1261"/>
        <w:gridCol w:w="1347"/>
        <w:gridCol w:w="859"/>
        <w:gridCol w:w="1240"/>
        <w:gridCol w:w="850"/>
        <w:gridCol w:w="1037"/>
        <w:gridCol w:w="1003"/>
      </w:tblGrid>
      <w:tr w:rsidR="00625ED0" w:rsidRPr="00625ED0" w:rsidTr="00542DA1">
        <w:trPr>
          <w:trHeight w:val="300"/>
        </w:trPr>
        <w:tc>
          <w:tcPr>
            <w:tcW w:w="1361" w:type="dxa"/>
            <w:noWrap/>
            <w:hideMark/>
          </w:tcPr>
          <w:p w:rsidR="00CC5AC2" w:rsidRPr="00625ED0" w:rsidRDefault="00CC5AC2" w:rsidP="00E86802">
            <w:pPr>
              <w:spacing w:after="120" w:line="0" w:lineRule="atLeast"/>
              <w:jc w:val="center"/>
              <w:rPr>
                <w:i/>
                <w:sz w:val="18"/>
                <w:szCs w:val="18"/>
              </w:rPr>
            </w:pPr>
          </w:p>
        </w:tc>
        <w:tc>
          <w:tcPr>
            <w:tcW w:w="1270" w:type="dxa"/>
            <w:shd w:val="clear" w:color="auto" w:fill="FFC000"/>
            <w:noWrap/>
            <w:hideMark/>
          </w:tcPr>
          <w:p w:rsidR="00CC5AC2" w:rsidRPr="00625ED0" w:rsidRDefault="00CC5AC2" w:rsidP="00E86802">
            <w:pPr>
              <w:spacing w:after="120" w:line="0" w:lineRule="atLeast"/>
              <w:jc w:val="center"/>
              <w:rPr>
                <w:b/>
                <w:bCs/>
                <w:i/>
                <w:sz w:val="18"/>
                <w:szCs w:val="18"/>
              </w:rPr>
            </w:pPr>
            <w:r w:rsidRPr="00625ED0">
              <w:rPr>
                <w:b/>
                <w:bCs/>
                <w:i/>
                <w:sz w:val="18"/>
                <w:szCs w:val="18"/>
              </w:rPr>
              <w:t xml:space="preserve">Orientamento al Cliente </w:t>
            </w:r>
          </w:p>
        </w:tc>
        <w:tc>
          <w:tcPr>
            <w:tcW w:w="1261" w:type="dxa"/>
            <w:shd w:val="clear" w:color="auto" w:fill="FFC000"/>
            <w:noWrap/>
            <w:hideMark/>
          </w:tcPr>
          <w:p w:rsidR="00CC5AC2" w:rsidRPr="00625ED0" w:rsidRDefault="00CC5AC2" w:rsidP="00E86802">
            <w:pPr>
              <w:spacing w:after="120" w:line="0" w:lineRule="atLeast"/>
              <w:jc w:val="center"/>
              <w:rPr>
                <w:b/>
                <w:bCs/>
                <w:i/>
                <w:sz w:val="18"/>
                <w:szCs w:val="18"/>
              </w:rPr>
            </w:pPr>
            <w:r w:rsidRPr="00625ED0">
              <w:rPr>
                <w:b/>
                <w:bCs/>
                <w:i/>
                <w:sz w:val="18"/>
                <w:szCs w:val="18"/>
              </w:rPr>
              <w:t xml:space="preserve">Rapporti interpersonali </w:t>
            </w:r>
          </w:p>
        </w:tc>
        <w:tc>
          <w:tcPr>
            <w:tcW w:w="1347" w:type="dxa"/>
            <w:shd w:val="clear" w:color="auto" w:fill="FFC000"/>
            <w:noWrap/>
            <w:hideMark/>
          </w:tcPr>
          <w:p w:rsidR="00CC5AC2" w:rsidRPr="00625ED0" w:rsidRDefault="00CC5AC2" w:rsidP="00E86802">
            <w:pPr>
              <w:spacing w:after="120" w:line="0" w:lineRule="atLeast"/>
              <w:jc w:val="center"/>
              <w:rPr>
                <w:b/>
                <w:bCs/>
                <w:i/>
                <w:sz w:val="18"/>
                <w:szCs w:val="18"/>
              </w:rPr>
            </w:pPr>
            <w:r w:rsidRPr="00625ED0">
              <w:rPr>
                <w:b/>
                <w:bCs/>
                <w:i/>
                <w:sz w:val="18"/>
                <w:szCs w:val="18"/>
              </w:rPr>
              <w:t>Comunicazione verbale</w:t>
            </w:r>
          </w:p>
        </w:tc>
        <w:tc>
          <w:tcPr>
            <w:tcW w:w="859" w:type="dxa"/>
            <w:shd w:val="clear" w:color="auto" w:fill="FFC000"/>
            <w:noWrap/>
            <w:hideMark/>
          </w:tcPr>
          <w:p w:rsidR="00CC5AC2" w:rsidRPr="00625ED0" w:rsidRDefault="00CC5AC2" w:rsidP="00E86802">
            <w:pPr>
              <w:spacing w:after="120" w:line="0" w:lineRule="atLeast"/>
              <w:jc w:val="center"/>
              <w:rPr>
                <w:b/>
                <w:bCs/>
                <w:i/>
                <w:sz w:val="18"/>
                <w:szCs w:val="18"/>
              </w:rPr>
            </w:pPr>
            <w:r w:rsidRPr="00625ED0">
              <w:rPr>
                <w:b/>
                <w:bCs/>
                <w:i/>
                <w:sz w:val="18"/>
                <w:szCs w:val="18"/>
              </w:rPr>
              <w:t>Team Working</w:t>
            </w:r>
          </w:p>
        </w:tc>
        <w:tc>
          <w:tcPr>
            <w:tcW w:w="1240" w:type="dxa"/>
            <w:shd w:val="clear" w:color="auto" w:fill="FFC000"/>
            <w:noWrap/>
            <w:hideMark/>
          </w:tcPr>
          <w:p w:rsidR="00CC5AC2" w:rsidRPr="00625ED0" w:rsidRDefault="00CC5AC2" w:rsidP="00E86802">
            <w:pPr>
              <w:spacing w:after="120" w:line="0" w:lineRule="atLeast"/>
              <w:jc w:val="center"/>
              <w:rPr>
                <w:b/>
                <w:bCs/>
                <w:i/>
                <w:sz w:val="18"/>
                <w:szCs w:val="18"/>
              </w:rPr>
            </w:pPr>
            <w:r w:rsidRPr="00625ED0">
              <w:rPr>
                <w:b/>
                <w:bCs/>
                <w:i/>
                <w:sz w:val="18"/>
                <w:szCs w:val="18"/>
              </w:rPr>
              <w:t>Planning &amp; Management</w:t>
            </w:r>
          </w:p>
        </w:tc>
        <w:tc>
          <w:tcPr>
            <w:tcW w:w="850" w:type="dxa"/>
            <w:shd w:val="clear" w:color="auto" w:fill="FFC000"/>
            <w:noWrap/>
            <w:hideMark/>
          </w:tcPr>
          <w:p w:rsidR="00CC5AC2" w:rsidRPr="00625ED0" w:rsidRDefault="00CC5AC2" w:rsidP="00E86802">
            <w:pPr>
              <w:spacing w:after="120" w:line="0" w:lineRule="atLeast"/>
              <w:jc w:val="center"/>
              <w:rPr>
                <w:b/>
                <w:bCs/>
                <w:i/>
                <w:sz w:val="18"/>
                <w:szCs w:val="18"/>
              </w:rPr>
            </w:pPr>
            <w:r w:rsidRPr="00625ED0">
              <w:rPr>
                <w:b/>
                <w:bCs/>
                <w:i/>
                <w:sz w:val="18"/>
                <w:szCs w:val="18"/>
              </w:rPr>
              <w:t xml:space="preserve">Problem Solving </w:t>
            </w:r>
          </w:p>
        </w:tc>
        <w:tc>
          <w:tcPr>
            <w:tcW w:w="1037" w:type="dxa"/>
            <w:shd w:val="clear" w:color="auto" w:fill="FFC000"/>
            <w:noWrap/>
            <w:hideMark/>
          </w:tcPr>
          <w:p w:rsidR="00CC5AC2" w:rsidRPr="00625ED0" w:rsidRDefault="00CC5AC2" w:rsidP="00E86802">
            <w:pPr>
              <w:spacing w:after="120" w:line="0" w:lineRule="atLeast"/>
              <w:jc w:val="center"/>
              <w:rPr>
                <w:b/>
                <w:bCs/>
                <w:i/>
                <w:sz w:val="18"/>
                <w:szCs w:val="18"/>
              </w:rPr>
            </w:pPr>
            <w:r w:rsidRPr="00625ED0">
              <w:rPr>
                <w:b/>
                <w:bCs/>
                <w:i/>
                <w:sz w:val="18"/>
                <w:szCs w:val="18"/>
              </w:rPr>
              <w:t xml:space="preserve">Spirito d'Iniziativa </w:t>
            </w:r>
          </w:p>
        </w:tc>
        <w:tc>
          <w:tcPr>
            <w:tcW w:w="1003" w:type="dxa"/>
            <w:shd w:val="clear" w:color="auto" w:fill="FFC000"/>
            <w:noWrap/>
            <w:hideMark/>
          </w:tcPr>
          <w:p w:rsidR="00CC5AC2" w:rsidRPr="00625ED0" w:rsidRDefault="00CC5AC2" w:rsidP="00E86802">
            <w:pPr>
              <w:spacing w:after="120" w:line="0" w:lineRule="atLeast"/>
              <w:jc w:val="center"/>
              <w:rPr>
                <w:b/>
                <w:bCs/>
                <w:i/>
                <w:sz w:val="18"/>
                <w:szCs w:val="18"/>
              </w:rPr>
            </w:pPr>
            <w:r w:rsidRPr="00625ED0">
              <w:rPr>
                <w:b/>
                <w:bCs/>
                <w:i/>
                <w:sz w:val="18"/>
                <w:szCs w:val="18"/>
              </w:rPr>
              <w:t>Flessibilità</w:t>
            </w:r>
          </w:p>
        </w:tc>
      </w:tr>
      <w:tr w:rsidR="00625ED0" w:rsidRPr="00625ED0" w:rsidTr="00542DA1">
        <w:trPr>
          <w:trHeight w:val="300"/>
        </w:trPr>
        <w:tc>
          <w:tcPr>
            <w:tcW w:w="1361" w:type="dxa"/>
            <w:shd w:val="clear" w:color="auto" w:fill="A6A6A6" w:themeFill="background1" w:themeFillShade="A6"/>
            <w:noWrap/>
            <w:hideMark/>
          </w:tcPr>
          <w:p w:rsidR="00CC5AC2" w:rsidRPr="00625ED0" w:rsidRDefault="00CC5AC2" w:rsidP="00E86802">
            <w:pPr>
              <w:spacing w:after="120" w:line="0" w:lineRule="atLeast"/>
              <w:jc w:val="center"/>
              <w:rPr>
                <w:b/>
                <w:bCs/>
                <w:i/>
                <w:sz w:val="18"/>
                <w:szCs w:val="18"/>
              </w:rPr>
            </w:pPr>
            <w:r w:rsidRPr="00625ED0">
              <w:rPr>
                <w:b/>
                <w:bCs/>
                <w:i/>
                <w:sz w:val="18"/>
                <w:szCs w:val="18"/>
              </w:rPr>
              <w:t>Storytelling</w:t>
            </w:r>
          </w:p>
        </w:tc>
        <w:tc>
          <w:tcPr>
            <w:tcW w:w="1270" w:type="dxa"/>
            <w:shd w:val="clear" w:color="auto" w:fill="A6A6A6" w:themeFill="background1" w:themeFillShade="A6"/>
            <w:noWrap/>
            <w:hideMark/>
          </w:tcPr>
          <w:p w:rsidR="00CC5AC2" w:rsidRPr="00625ED0" w:rsidRDefault="00CC5AC2" w:rsidP="00E86802">
            <w:pPr>
              <w:spacing w:after="120" w:line="0" w:lineRule="atLeast"/>
              <w:jc w:val="center"/>
              <w:rPr>
                <w:i/>
                <w:sz w:val="18"/>
                <w:szCs w:val="18"/>
              </w:rPr>
            </w:pPr>
            <w:r w:rsidRPr="00625ED0">
              <w:rPr>
                <w:i/>
                <w:sz w:val="18"/>
                <w:szCs w:val="18"/>
              </w:rPr>
              <w:t> </w:t>
            </w:r>
          </w:p>
        </w:tc>
        <w:tc>
          <w:tcPr>
            <w:tcW w:w="1261" w:type="dxa"/>
            <w:shd w:val="clear" w:color="auto" w:fill="A6A6A6" w:themeFill="background1" w:themeFillShade="A6"/>
            <w:noWrap/>
            <w:hideMark/>
          </w:tcPr>
          <w:p w:rsidR="00CC5AC2" w:rsidRPr="00625ED0" w:rsidRDefault="00CC5AC2" w:rsidP="00E86802">
            <w:pPr>
              <w:spacing w:after="120" w:line="0" w:lineRule="atLeast"/>
              <w:jc w:val="center"/>
              <w:rPr>
                <w:i/>
                <w:sz w:val="18"/>
                <w:szCs w:val="18"/>
              </w:rPr>
            </w:pPr>
            <w:r w:rsidRPr="00625ED0">
              <w:rPr>
                <w:i/>
                <w:sz w:val="18"/>
                <w:szCs w:val="18"/>
              </w:rPr>
              <w:t> </w:t>
            </w:r>
          </w:p>
        </w:tc>
        <w:tc>
          <w:tcPr>
            <w:tcW w:w="1347" w:type="dxa"/>
            <w:shd w:val="clear" w:color="auto" w:fill="A6A6A6" w:themeFill="background1" w:themeFillShade="A6"/>
            <w:noWrap/>
            <w:hideMark/>
          </w:tcPr>
          <w:p w:rsidR="00CC5AC2" w:rsidRPr="00625ED0" w:rsidRDefault="00CC5AC2" w:rsidP="00E86802">
            <w:pPr>
              <w:spacing w:after="120" w:line="0" w:lineRule="atLeast"/>
              <w:jc w:val="center"/>
              <w:rPr>
                <w:i/>
                <w:sz w:val="18"/>
                <w:szCs w:val="18"/>
              </w:rPr>
            </w:pPr>
            <w:r w:rsidRPr="00625ED0">
              <w:rPr>
                <w:i/>
                <w:sz w:val="18"/>
                <w:szCs w:val="18"/>
              </w:rPr>
              <w:t> </w:t>
            </w:r>
          </w:p>
        </w:tc>
        <w:tc>
          <w:tcPr>
            <w:tcW w:w="859" w:type="dxa"/>
            <w:noWrap/>
            <w:hideMark/>
          </w:tcPr>
          <w:p w:rsidR="00CC5AC2" w:rsidRPr="00625ED0" w:rsidRDefault="00CC5AC2" w:rsidP="00E86802">
            <w:pPr>
              <w:spacing w:after="120" w:line="0" w:lineRule="atLeast"/>
              <w:jc w:val="center"/>
              <w:rPr>
                <w:i/>
                <w:sz w:val="18"/>
                <w:szCs w:val="18"/>
              </w:rPr>
            </w:pPr>
            <w:r w:rsidRPr="00625ED0">
              <w:rPr>
                <w:i/>
                <w:sz w:val="18"/>
                <w:szCs w:val="18"/>
              </w:rPr>
              <w:t> </w:t>
            </w:r>
          </w:p>
        </w:tc>
        <w:tc>
          <w:tcPr>
            <w:tcW w:w="1240" w:type="dxa"/>
            <w:noWrap/>
            <w:hideMark/>
          </w:tcPr>
          <w:p w:rsidR="00CC5AC2" w:rsidRPr="00625ED0" w:rsidRDefault="00CC5AC2" w:rsidP="00E86802">
            <w:pPr>
              <w:spacing w:after="120" w:line="0" w:lineRule="atLeast"/>
              <w:jc w:val="center"/>
              <w:rPr>
                <w:i/>
                <w:sz w:val="18"/>
                <w:szCs w:val="18"/>
              </w:rPr>
            </w:pPr>
            <w:r w:rsidRPr="00625ED0">
              <w:rPr>
                <w:i/>
                <w:sz w:val="18"/>
                <w:szCs w:val="18"/>
              </w:rPr>
              <w:t> </w:t>
            </w:r>
          </w:p>
        </w:tc>
        <w:tc>
          <w:tcPr>
            <w:tcW w:w="850" w:type="dxa"/>
            <w:noWrap/>
            <w:hideMark/>
          </w:tcPr>
          <w:p w:rsidR="00CC5AC2" w:rsidRPr="00625ED0" w:rsidRDefault="00CC5AC2" w:rsidP="00E86802">
            <w:pPr>
              <w:spacing w:after="120" w:line="0" w:lineRule="atLeast"/>
              <w:jc w:val="center"/>
              <w:rPr>
                <w:i/>
                <w:sz w:val="18"/>
                <w:szCs w:val="18"/>
              </w:rPr>
            </w:pPr>
            <w:r w:rsidRPr="00625ED0">
              <w:rPr>
                <w:i/>
                <w:sz w:val="18"/>
                <w:szCs w:val="18"/>
              </w:rPr>
              <w:t> </w:t>
            </w:r>
          </w:p>
        </w:tc>
        <w:tc>
          <w:tcPr>
            <w:tcW w:w="1037" w:type="dxa"/>
            <w:noWrap/>
            <w:hideMark/>
          </w:tcPr>
          <w:p w:rsidR="00CC5AC2" w:rsidRPr="00625ED0" w:rsidRDefault="00CC5AC2" w:rsidP="00E86802">
            <w:pPr>
              <w:spacing w:after="120" w:line="0" w:lineRule="atLeast"/>
              <w:jc w:val="center"/>
              <w:rPr>
                <w:i/>
                <w:sz w:val="18"/>
                <w:szCs w:val="18"/>
              </w:rPr>
            </w:pPr>
            <w:r w:rsidRPr="00625ED0">
              <w:rPr>
                <w:i/>
                <w:sz w:val="18"/>
                <w:szCs w:val="18"/>
              </w:rPr>
              <w:t> </w:t>
            </w:r>
          </w:p>
        </w:tc>
        <w:tc>
          <w:tcPr>
            <w:tcW w:w="1003" w:type="dxa"/>
            <w:shd w:val="clear" w:color="auto" w:fill="A6A6A6" w:themeFill="background1" w:themeFillShade="A6"/>
            <w:noWrap/>
            <w:hideMark/>
          </w:tcPr>
          <w:p w:rsidR="00CC5AC2" w:rsidRPr="00625ED0" w:rsidRDefault="00CC5AC2" w:rsidP="00E86802">
            <w:pPr>
              <w:spacing w:after="120" w:line="0" w:lineRule="atLeast"/>
              <w:jc w:val="center"/>
              <w:rPr>
                <w:i/>
                <w:sz w:val="18"/>
                <w:szCs w:val="18"/>
              </w:rPr>
            </w:pPr>
            <w:r w:rsidRPr="00625ED0">
              <w:rPr>
                <w:i/>
                <w:sz w:val="18"/>
                <w:szCs w:val="18"/>
              </w:rPr>
              <w:t> </w:t>
            </w:r>
          </w:p>
        </w:tc>
      </w:tr>
      <w:tr w:rsidR="00625ED0" w:rsidRPr="00625ED0" w:rsidTr="00542DA1">
        <w:trPr>
          <w:trHeight w:val="300"/>
        </w:trPr>
        <w:tc>
          <w:tcPr>
            <w:tcW w:w="1361" w:type="dxa"/>
            <w:shd w:val="clear" w:color="auto" w:fill="92D050"/>
            <w:noWrap/>
            <w:hideMark/>
          </w:tcPr>
          <w:p w:rsidR="00CC5AC2" w:rsidRPr="00625ED0" w:rsidRDefault="00CC5AC2" w:rsidP="00E86802">
            <w:pPr>
              <w:spacing w:after="120" w:line="0" w:lineRule="atLeast"/>
              <w:jc w:val="center"/>
              <w:rPr>
                <w:b/>
                <w:bCs/>
                <w:i/>
                <w:sz w:val="18"/>
                <w:szCs w:val="18"/>
              </w:rPr>
            </w:pPr>
            <w:r w:rsidRPr="00625ED0">
              <w:rPr>
                <w:b/>
                <w:bCs/>
                <w:i/>
                <w:sz w:val="18"/>
                <w:szCs w:val="18"/>
              </w:rPr>
              <w:t>Turismo eco-sostenibile</w:t>
            </w:r>
          </w:p>
        </w:tc>
        <w:tc>
          <w:tcPr>
            <w:tcW w:w="1270" w:type="dxa"/>
            <w:noWrap/>
            <w:hideMark/>
          </w:tcPr>
          <w:p w:rsidR="00CC5AC2" w:rsidRPr="00625ED0" w:rsidRDefault="00CC5AC2" w:rsidP="00E86802">
            <w:pPr>
              <w:spacing w:after="120" w:line="0" w:lineRule="atLeast"/>
              <w:jc w:val="center"/>
              <w:rPr>
                <w:i/>
                <w:sz w:val="18"/>
                <w:szCs w:val="18"/>
              </w:rPr>
            </w:pPr>
            <w:r w:rsidRPr="00625ED0">
              <w:rPr>
                <w:i/>
                <w:sz w:val="18"/>
                <w:szCs w:val="18"/>
              </w:rPr>
              <w:t> </w:t>
            </w:r>
          </w:p>
        </w:tc>
        <w:tc>
          <w:tcPr>
            <w:tcW w:w="1261" w:type="dxa"/>
            <w:noWrap/>
            <w:hideMark/>
          </w:tcPr>
          <w:p w:rsidR="00CC5AC2" w:rsidRPr="00625ED0" w:rsidRDefault="00CC5AC2" w:rsidP="00E86802">
            <w:pPr>
              <w:spacing w:after="120" w:line="0" w:lineRule="atLeast"/>
              <w:jc w:val="center"/>
              <w:rPr>
                <w:i/>
                <w:sz w:val="18"/>
                <w:szCs w:val="18"/>
              </w:rPr>
            </w:pPr>
            <w:r w:rsidRPr="00625ED0">
              <w:rPr>
                <w:i/>
                <w:sz w:val="18"/>
                <w:szCs w:val="18"/>
              </w:rPr>
              <w:t> </w:t>
            </w:r>
          </w:p>
        </w:tc>
        <w:tc>
          <w:tcPr>
            <w:tcW w:w="1347" w:type="dxa"/>
            <w:noWrap/>
            <w:hideMark/>
          </w:tcPr>
          <w:p w:rsidR="00CC5AC2" w:rsidRPr="00625ED0" w:rsidRDefault="00CC5AC2" w:rsidP="00E86802">
            <w:pPr>
              <w:spacing w:after="120" w:line="0" w:lineRule="atLeast"/>
              <w:jc w:val="center"/>
              <w:rPr>
                <w:i/>
                <w:sz w:val="18"/>
                <w:szCs w:val="18"/>
              </w:rPr>
            </w:pPr>
            <w:r w:rsidRPr="00625ED0">
              <w:rPr>
                <w:i/>
                <w:sz w:val="18"/>
                <w:szCs w:val="18"/>
              </w:rPr>
              <w:t> </w:t>
            </w:r>
          </w:p>
        </w:tc>
        <w:tc>
          <w:tcPr>
            <w:tcW w:w="859" w:type="dxa"/>
            <w:noWrap/>
            <w:hideMark/>
          </w:tcPr>
          <w:p w:rsidR="00CC5AC2" w:rsidRPr="00625ED0" w:rsidRDefault="00CC5AC2" w:rsidP="00E86802">
            <w:pPr>
              <w:spacing w:after="120" w:line="0" w:lineRule="atLeast"/>
              <w:jc w:val="center"/>
              <w:rPr>
                <w:i/>
                <w:sz w:val="18"/>
                <w:szCs w:val="18"/>
              </w:rPr>
            </w:pPr>
            <w:r w:rsidRPr="00625ED0">
              <w:rPr>
                <w:i/>
                <w:sz w:val="18"/>
                <w:szCs w:val="18"/>
              </w:rPr>
              <w:t> </w:t>
            </w:r>
          </w:p>
        </w:tc>
        <w:tc>
          <w:tcPr>
            <w:tcW w:w="1240" w:type="dxa"/>
            <w:noWrap/>
            <w:hideMark/>
          </w:tcPr>
          <w:p w:rsidR="00CC5AC2" w:rsidRPr="00625ED0" w:rsidRDefault="00CC5AC2" w:rsidP="00E86802">
            <w:pPr>
              <w:spacing w:after="120" w:line="0" w:lineRule="atLeast"/>
              <w:jc w:val="center"/>
              <w:rPr>
                <w:i/>
                <w:sz w:val="18"/>
                <w:szCs w:val="18"/>
              </w:rPr>
            </w:pPr>
            <w:r w:rsidRPr="00625ED0">
              <w:rPr>
                <w:i/>
                <w:sz w:val="18"/>
                <w:szCs w:val="18"/>
              </w:rPr>
              <w:t> </w:t>
            </w:r>
          </w:p>
        </w:tc>
        <w:tc>
          <w:tcPr>
            <w:tcW w:w="850" w:type="dxa"/>
            <w:shd w:val="clear" w:color="auto" w:fill="92D050"/>
            <w:noWrap/>
            <w:hideMark/>
          </w:tcPr>
          <w:p w:rsidR="00CC5AC2" w:rsidRPr="00625ED0" w:rsidRDefault="00CC5AC2" w:rsidP="00E86802">
            <w:pPr>
              <w:spacing w:after="120" w:line="0" w:lineRule="atLeast"/>
              <w:jc w:val="center"/>
              <w:rPr>
                <w:i/>
                <w:sz w:val="18"/>
                <w:szCs w:val="18"/>
              </w:rPr>
            </w:pPr>
            <w:r w:rsidRPr="00625ED0">
              <w:rPr>
                <w:i/>
                <w:sz w:val="18"/>
                <w:szCs w:val="18"/>
              </w:rPr>
              <w:t> </w:t>
            </w:r>
          </w:p>
        </w:tc>
        <w:tc>
          <w:tcPr>
            <w:tcW w:w="1037" w:type="dxa"/>
            <w:noWrap/>
            <w:hideMark/>
          </w:tcPr>
          <w:p w:rsidR="00CC5AC2" w:rsidRPr="00625ED0" w:rsidRDefault="00CC5AC2" w:rsidP="00E86802">
            <w:pPr>
              <w:spacing w:after="120" w:line="0" w:lineRule="atLeast"/>
              <w:jc w:val="center"/>
              <w:rPr>
                <w:i/>
                <w:sz w:val="18"/>
                <w:szCs w:val="18"/>
              </w:rPr>
            </w:pPr>
            <w:r w:rsidRPr="00625ED0">
              <w:rPr>
                <w:i/>
                <w:sz w:val="18"/>
                <w:szCs w:val="18"/>
              </w:rPr>
              <w:t> </w:t>
            </w:r>
          </w:p>
        </w:tc>
        <w:tc>
          <w:tcPr>
            <w:tcW w:w="1003" w:type="dxa"/>
            <w:shd w:val="clear" w:color="auto" w:fill="92D050"/>
            <w:noWrap/>
            <w:hideMark/>
          </w:tcPr>
          <w:p w:rsidR="00CC5AC2" w:rsidRPr="00625ED0" w:rsidRDefault="00CC5AC2" w:rsidP="00E86802">
            <w:pPr>
              <w:spacing w:after="120" w:line="0" w:lineRule="atLeast"/>
              <w:jc w:val="center"/>
              <w:rPr>
                <w:i/>
                <w:sz w:val="18"/>
                <w:szCs w:val="18"/>
              </w:rPr>
            </w:pPr>
            <w:r w:rsidRPr="00625ED0">
              <w:rPr>
                <w:i/>
                <w:sz w:val="18"/>
                <w:szCs w:val="18"/>
              </w:rPr>
              <w:t> </w:t>
            </w:r>
          </w:p>
        </w:tc>
      </w:tr>
      <w:tr w:rsidR="00625ED0" w:rsidRPr="00625ED0" w:rsidTr="00542DA1">
        <w:trPr>
          <w:trHeight w:val="300"/>
        </w:trPr>
        <w:tc>
          <w:tcPr>
            <w:tcW w:w="1361" w:type="dxa"/>
            <w:shd w:val="clear" w:color="auto" w:fill="4BACC6" w:themeFill="accent5"/>
            <w:noWrap/>
            <w:hideMark/>
          </w:tcPr>
          <w:p w:rsidR="00CC5AC2" w:rsidRPr="00625ED0" w:rsidRDefault="00CC5AC2" w:rsidP="00E86802">
            <w:pPr>
              <w:spacing w:after="120" w:line="0" w:lineRule="atLeast"/>
              <w:jc w:val="center"/>
              <w:rPr>
                <w:b/>
                <w:bCs/>
                <w:i/>
                <w:sz w:val="18"/>
                <w:szCs w:val="18"/>
              </w:rPr>
            </w:pPr>
            <w:r w:rsidRPr="00625ED0">
              <w:rPr>
                <w:b/>
                <w:bCs/>
                <w:i/>
                <w:sz w:val="18"/>
                <w:szCs w:val="18"/>
              </w:rPr>
              <w:t xml:space="preserve">Turismo esperenziale </w:t>
            </w:r>
          </w:p>
        </w:tc>
        <w:tc>
          <w:tcPr>
            <w:tcW w:w="1270" w:type="dxa"/>
            <w:shd w:val="clear" w:color="auto" w:fill="4BACC6" w:themeFill="accent5"/>
            <w:noWrap/>
            <w:hideMark/>
          </w:tcPr>
          <w:p w:rsidR="00CC5AC2" w:rsidRPr="00625ED0" w:rsidRDefault="00CC5AC2" w:rsidP="00E86802">
            <w:pPr>
              <w:spacing w:after="120" w:line="0" w:lineRule="atLeast"/>
              <w:jc w:val="center"/>
              <w:rPr>
                <w:i/>
                <w:sz w:val="18"/>
                <w:szCs w:val="18"/>
              </w:rPr>
            </w:pPr>
            <w:r w:rsidRPr="00625ED0">
              <w:rPr>
                <w:i/>
                <w:sz w:val="18"/>
                <w:szCs w:val="18"/>
              </w:rPr>
              <w:t> </w:t>
            </w:r>
          </w:p>
        </w:tc>
        <w:tc>
          <w:tcPr>
            <w:tcW w:w="1261" w:type="dxa"/>
            <w:noWrap/>
            <w:hideMark/>
          </w:tcPr>
          <w:p w:rsidR="00CC5AC2" w:rsidRPr="00625ED0" w:rsidRDefault="00CC5AC2" w:rsidP="00E86802">
            <w:pPr>
              <w:spacing w:after="120" w:line="0" w:lineRule="atLeast"/>
              <w:jc w:val="center"/>
              <w:rPr>
                <w:i/>
                <w:sz w:val="18"/>
                <w:szCs w:val="18"/>
              </w:rPr>
            </w:pPr>
            <w:r w:rsidRPr="00625ED0">
              <w:rPr>
                <w:i/>
                <w:sz w:val="18"/>
                <w:szCs w:val="18"/>
              </w:rPr>
              <w:t> </w:t>
            </w:r>
          </w:p>
        </w:tc>
        <w:tc>
          <w:tcPr>
            <w:tcW w:w="1347" w:type="dxa"/>
            <w:noWrap/>
            <w:hideMark/>
          </w:tcPr>
          <w:p w:rsidR="00CC5AC2" w:rsidRPr="00625ED0" w:rsidRDefault="00CC5AC2" w:rsidP="00E86802">
            <w:pPr>
              <w:spacing w:after="120" w:line="0" w:lineRule="atLeast"/>
              <w:jc w:val="center"/>
              <w:rPr>
                <w:i/>
                <w:sz w:val="18"/>
                <w:szCs w:val="18"/>
              </w:rPr>
            </w:pPr>
            <w:r w:rsidRPr="00625ED0">
              <w:rPr>
                <w:i/>
                <w:sz w:val="18"/>
                <w:szCs w:val="18"/>
              </w:rPr>
              <w:t> </w:t>
            </w:r>
          </w:p>
        </w:tc>
        <w:tc>
          <w:tcPr>
            <w:tcW w:w="859" w:type="dxa"/>
            <w:noWrap/>
            <w:hideMark/>
          </w:tcPr>
          <w:p w:rsidR="00CC5AC2" w:rsidRPr="00625ED0" w:rsidRDefault="00CC5AC2" w:rsidP="00E86802">
            <w:pPr>
              <w:spacing w:after="120" w:line="0" w:lineRule="atLeast"/>
              <w:jc w:val="center"/>
              <w:rPr>
                <w:i/>
                <w:sz w:val="18"/>
                <w:szCs w:val="18"/>
              </w:rPr>
            </w:pPr>
            <w:r w:rsidRPr="00625ED0">
              <w:rPr>
                <w:i/>
                <w:sz w:val="18"/>
                <w:szCs w:val="18"/>
              </w:rPr>
              <w:t> </w:t>
            </w:r>
          </w:p>
        </w:tc>
        <w:tc>
          <w:tcPr>
            <w:tcW w:w="1240" w:type="dxa"/>
            <w:shd w:val="clear" w:color="auto" w:fill="4BACC6" w:themeFill="accent5"/>
            <w:noWrap/>
            <w:hideMark/>
          </w:tcPr>
          <w:p w:rsidR="00CC5AC2" w:rsidRPr="00625ED0" w:rsidRDefault="00CC5AC2" w:rsidP="00E86802">
            <w:pPr>
              <w:spacing w:after="120" w:line="0" w:lineRule="atLeast"/>
              <w:jc w:val="center"/>
              <w:rPr>
                <w:i/>
                <w:sz w:val="18"/>
                <w:szCs w:val="18"/>
              </w:rPr>
            </w:pPr>
            <w:r w:rsidRPr="00625ED0">
              <w:rPr>
                <w:i/>
                <w:sz w:val="18"/>
                <w:szCs w:val="18"/>
              </w:rPr>
              <w:t> </w:t>
            </w:r>
          </w:p>
        </w:tc>
        <w:tc>
          <w:tcPr>
            <w:tcW w:w="850" w:type="dxa"/>
            <w:noWrap/>
            <w:hideMark/>
          </w:tcPr>
          <w:p w:rsidR="00CC5AC2" w:rsidRPr="00625ED0" w:rsidRDefault="00CC5AC2" w:rsidP="00E86802">
            <w:pPr>
              <w:spacing w:after="120" w:line="0" w:lineRule="atLeast"/>
              <w:jc w:val="center"/>
              <w:rPr>
                <w:i/>
                <w:sz w:val="18"/>
                <w:szCs w:val="18"/>
              </w:rPr>
            </w:pPr>
            <w:r w:rsidRPr="00625ED0">
              <w:rPr>
                <w:i/>
                <w:sz w:val="18"/>
                <w:szCs w:val="18"/>
              </w:rPr>
              <w:t> </w:t>
            </w:r>
          </w:p>
        </w:tc>
        <w:tc>
          <w:tcPr>
            <w:tcW w:w="1037" w:type="dxa"/>
            <w:shd w:val="clear" w:color="auto" w:fill="4BACC6" w:themeFill="accent5"/>
            <w:noWrap/>
            <w:hideMark/>
          </w:tcPr>
          <w:p w:rsidR="00CC5AC2" w:rsidRPr="00625ED0" w:rsidRDefault="00CC5AC2" w:rsidP="00E86802">
            <w:pPr>
              <w:spacing w:after="120" w:line="0" w:lineRule="atLeast"/>
              <w:jc w:val="center"/>
              <w:rPr>
                <w:i/>
                <w:sz w:val="18"/>
                <w:szCs w:val="18"/>
              </w:rPr>
            </w:pPr>
            <w:r w:rsidRPr="00625ED0">
              <w:rPr>
                <w:i/>
                <w:sz w:val="18"/>
                <w:szCs w:val="18"/>
              </w:rPr>
              <w:t> </w:t>
            </w:r>
          </w:p>
        </w:tc>
        <w:tc>
          <w:tcPr>
            <w:tcW w:w="1003" w:type="dxa"/>
            <w:noWrap/>
            <w:hideMark/>
          </w:tcPr>
          <w:p w:rsidR="00CC5AC2" w:rsidRPr="00625ED0" w:rsidRDefault="00CC5AC2" w:rsidP="00E86802">
            <w:pPr>
              <w:spacing w:after="120" w:line="0" w:lineRule="atLeast"/>
              <w:jc w:val="center"/>
              <w:rPr>
                <w:i/>
                <w:sz w:val="18"/>
                <w:szCs w:val="18"/>
              </w:rPr>
            </w:pPr>
            <w:r w:rsidRPr="00625ED0">
              <w:rPr>
                <w:i/>
                <w:sz w:val="18"/>
                <w:szCs w:val="18"/>
              </w:rPr>
              <w:t> </w:t>
            </w:r>
          </w:p>
        </w:tc>
      </w:tr>
      <w:tr w:rsidR="00542DA1" w:rsidRPr="00625ED0" w:rsidTr="00542DA1">
        <w:trPr>
          <w:trHeight w:val="300"/>
        </w:trPr>
        <w:tc>
          <w:tcPr>
            <w:tcW w:w="1361" w:type="dxa"/>
            <w:shd w:val="clear" w:color="auto" w:fill="FF6600"/>
            <w:noWrap/>
            <w:hideMark/>
          </w:tcPr>
          <w:p w:rsidR="00CC5AC2" w:rsidRPr="00625ED0" w:rsidRDefault="00CC5AC2" w:rsidP="00E86802">
            <w:pPr>
              <w:spacing w:after="120" w:line="0" w:lineRule="atLeast"/>
              <w:jc w:val="center"/>
              <w:rPr>
                <w:b/>
                <w:bCs/>
                <w:i/>
                <w:sz w:val="18"/>
                <w:szCs w:val="18"/>
              </w:rPr>
            </w:pPr>
            <w:r w:rsidRPr="00625ED0">
              <w:rPr>
                <w:b/>
                <w:bCs/>
                <w:i/>
                <w:sz w:val="18"/>
                <w:szCs w:val="18"/>
              </w:rPr>
              <w:t>Organizzazione eventi</w:t>
            </w:r>
          </w:p>
        </w:tc>
        <w:tc>
          <w:tcPr>
            <w:tcW w:w="1270" w:type="dxa"/>
            <w:shd w:val="clear" w:color="auto" w:fill="FF6600"/>
            <w:noWrap/>
            <w:hideMark/>
          </w:tcPr>
          <w:p w:rsidR="00CC5AC2" w:rsidRPr="00625ED0" w:rsidRDefault="00CC5AC2" w:rsidP="00E86802">
            <w:pPr>
              <w:spacing w:after="120" w:line="0" w:lineRule="atLeast"/>
              <w:jc w:val="center"/>
              <w:rPr>
                <w:i/>
                <w:sz w:val="18"/>
                <w:szCs w:val="18"/>
              </w:rPr>
            </w:pPr>
            <w:r w:rsidRPr="00625ED0">
              <w:rPr>
                <w:i/>
                <w:sz w:val="18"/>
                <w:szCs w:val="18"/>
              </w:rPr>
              <w:t> </w:t>
            </w:r>
          </w:p>
        </w:tc>
        <w:tc>
          <w:tcPr>
            <w:tcW w:w="1261" w:type="dxa"/>
            <w:shd w:val="clear" w:color="auto" w:fill="FF6600"/>
            <w:noWrap/>
            <w:hideMark/>
          </w:tcPr>
          <w:p w:rsidR="00CC5AC2" w:rsidRPr="00625ED0" w:rsidRDefault="00CC5AC2" w:rsidP="00E86802">
            <w:pPr>
              <w:spacing w:after="120" w:line="0" w:lineRule="atLeast"/>
              <w:jc w:val="center"/>
              <w:rPr>
                <w:i/>
                <w:sz w:val="18"/>
                <w:szCs w:val="18"/>
              </w:rPr>
            </w:pPr>
            <w:r w:rsidRPr="00625ED0">
              <w:rPr>
                <w:i/>
                <w:sz w:val="18"/>
                <w:szCs w:val="18"/>
              </w:rPr>
              <w:t> </w:t>
            </w:r>
          </w:p>
        </w:tc>
        <w:tc>
          <w:tcPr>
            <w:tcW w:w="1347" w:type="dxa"/>
            <w:shd w:val="clear" w:color="auto" w:fill="FF6600"/>
            <w:noWrap/>
            <w:hideMark/>
          </w:tcPr>
          <w:p w:rsidR="00CC5AC2" w:rsidRPr="00625ED0" w:rsidRDefault="00CC5AC2" w:rsidP="00E86802">
            <w:pPr>
              <w:spacing w:after="120" w:line="0" w:lineRule="atLeast"/>
              <w:jc w:val="center"/>
              <w:rPr>
                <w:i/>
                <w:sz w:val="18"/>
                <w:szCs w:val="18"/>
              </w:rPr>
            </w:pPr>
            <w:r w:rsidRPr="00625ED0">
              <w:rPr>
                <w:i/>
                <w:sz w:val="18"/>
                <w:szCs w:val="18"/>
              </w:rPr>
              <w:t> </w:t>
            </w:r>
          </w:p>
        </w:tc>
        <w:tc>
          <w:tcPr>
            <w:tcW w:w="859" w:type="dxa"/>
            <w:shd w:val="clear" w:color="auto" w:fill="FF6600"/>
            <w:noWrap/>
            <w:hideMark/>
          </w:tcPr>
          <w:p w:rsidR="00CC5AC2" w:rsidRPr="00625ED0" w:rsidRDefault="00CC5AC2" w:rsidP="00E86802">
            <w:pPr>
              <w:spacing w:after="120" w:line="0" w:lineRule="atLeast"/>
              <w:jc w:val="center"/>
              <w:rPr>
                <w:i/>
                <w:sz w:val="18"/>
                <w:szCs w:val="18"/>
              </w:rPr>
            </w:pPr>
            <w:r w:rsidRPr="00625ED0">
              <w:rPr>
                <w:i/>
                <w:sz w:val="18"/>
                <w:szCs w:val="18"/>
              </w:rPr>
              <w:t> </w:t>
            </w:r>
          </w:p>
        </w:tc>
        <w:tc>
          <w:tcPr>
            <w:tcW w:w="1240" w:type="dxa"/>
            <w:shd w:val="clear" w:color="auto" w:fill="FF6600"/>
            <w:noWrap/>
            <w:hideMark/>
          </w:tcPr>
          <w:p w:rsidR="00CC5AC2" w:rsidRPr="00625ED0" w:rsidRDefault="00CC5AC2" w:rsidP="00E86802">
            <w:pPr>
              <w:spacing w:after="120" w:line="0" w:lineRule="atLeast"/>
              <w:jc w:val="center"/>
              <w:rPr>
                <w:i/>
                <w:sz w:val="18"/>
                <w:szCs w:val="18"/>
              </w:rPr>
            </w:pPr>
            <w:r w:rsidRPr="00625ED0">
              <w:rPr>
                <w:i/>
                <w:sz w:val="18"/>
                <w:szCs w:val="18"/>
              </w:rPr>
              <w:t> </w:t>
            </w:r>
          </w:p>
        </w:tc>
        <w:tc>
          <w:tcPr>
            <w:tcW w:w="850" w:type="dxa"/>
            <w:shd w:val="clear" w:color="auto" w:fill="FF6600"/>
            <w:noWrap/>
            <w:hideMark/>
          </w:tcPr>
          <w:p w:rsidR="00CC5AC2" w:rsidRPr="00625ED0" w:rsidRDefault="00CC5AC2" w:rsidP="00E86802">
            <w:pPr>
              <w:spacing w:after="120" w:line="0" w:lineRule="atLeast"/>
              <w:jc w:val="center"/>
              <w:rPr>
                <w:i/>
                <w:sz w:val="18"/>
                <w:szCs w:val="18"/>
              </w:rPr>
            </w:pPr>
            <w:r w:rsidRPr="00625ED0">
              <w:rPr>
                <w:i/>
                <w:sz w:val="18"/>
                <w:szCs w:val="18"/>
              </w:rPr>
              <w:t> </w:t>
            </w:r>
          </w:p>
        </w:tc>
        <w:tc>
          <w:tcPr>
            <w:tcW w:w="1037" w:type="dxa"/>
            <w:shd w:val="clear" w:color="auto" w:fill="FF6600"/>
            <w:noWrap/>
            <w:hideMark/>
          </w:tcPr>
          <w:p w:rsidR="00CC5AC2" w:rsidRPr="00625ED0" w:rsidRDefault="00CC5AC2" w:rsidP="00E86802">
            <w:pPr>
              <w:spacing w:after="120" w:line="0" w:lineRule="atLeast"/>
              <w:jc w:val="center"/>
              <w:rPr>
                <w:i/>
                <w:sz w:val="18"/>
                <w:szCs w:val="18"/>
              </w:rPr>
            </w:pPr>
            <w:r w:rsidRPr="00625ED0">
              <w:rPr>
                <w:i/>
                <w:sz w:val="18"/>
                <w:szCs w:val="18"/>
              </w:rPr>
              <w:t> </w:t>
            </w:r>
          </w:p>
        </w:tc>
        <w:tc>
          <w:tcPr>
            <w:tcW w:w="1003" w:type="dxa"/>
            <w:noWrap/>
            <w:hideMark/>
          </w:tcPr>
          <w:p w:rsidR="00CC5AC2" w:rsidRPr="00625ED0" w:rsidRDefault="00CC5AC2" w:rsidP="00E86802">
            <w:pPr>
              <w:spacing w:after="120" w:line="0" w:lineRule="atLeast"/>
              <w:jc w:val="center"/>
              <w:rPr>
                <w:i/>
                <w:sz w:val="18"/>
                <w:szCs w:val="18"/>
              </w:rPr>
            </w:pPr>
            <w:r w:rsidRPr="00625ED0">
              <w:rPr>
                <w:i/>
                <w:sz w:val="18"/>
                <w:szCs w:val="18"/>
              </w:rPr>
              <w:t> </w:t>
            </w:r>
          </w:p>
        </w:tc>
      </w:tr>
      <w:tr w:rsidR="00542DA1" w:rsidRPr="00625ED0" w:rsidTr="00542DA1">
        <w:trPr>
          <w:trHeight w:val="300"/>
        </w:trPr>
        <w:tc>
          <w:tcPr>
            <w:tcW w:w="1361" w:type="dxa"/>
            <w:shd w:val="clear" w:color="auto" w:fill="FFCC00"/>
            <w:noWrap/>
            <w:hideMark/>
          </w:tcPr>
          <w:p w:rsidR="00CC5AC2" w:rsidRPr="00625ED0" w:rsidRDefault="00CC5AC2" w:rsidP="00E86802">
            <w:pPr>
              <w:spacing w:after="120" w:line="0" w:lineRule="atLeast"/>
              <w:jc w:val="center"/>
              <w:rPr>
                <w:b/>
                <w:bCs/>
                <w:i/>
                <w:sz w:val="18"/>
                <w:szCs w:val="18"/>
              </w:rPr>
            </w:pPr>
            <w:r w:rsidRPr="00625ED0">
              <w:rPr>
                <w:b/>
                <w:bCs/>
                <w:i/>
                <w:sz w:val="18"/>
                <w:szCs w:val="18"/>
              </w:rPr>
              <w:t xml:space="preserve">Hospitality </w:t>
            </w:r>
          </w:p>
        </w:tc>
        <w:tc>
          <w:tcPr>
            <w:tcW w:w="1270" w:type="dxa"/>
            <w:shd w:val="clear" w:color="auto" w:fill="FFCC00"/>
            <w:noWrap/>
            <w:hideMark/>
          </w:tcPr>
          <w:p w:rsidR="00CC5AC2" w:rsidRPr="00625ED0" w:rsidRDefault="00CC5AC2" w:rsidP="00E86802">
            <w:pPr>
              <w:spacing w:after="120" w:line="0" w:lineRule="atLeast"/>
              <w:jc w:val="center"/>
              <w:rPr>
                <w:i/>
                <w:sz w:val="18"/>
                <w:szCs w:val="18"/>
              </w:rPr>
            </w:pPr>
            <w:r w:rsidRPr="00625ED0">
              <w:rPr>
                <w:i/>
                <w:sz w:val="18"/>
                <w:szCs w:val="18"/>
              </w:rPr>
              <w:t> </w:t>
            </w:r>
          </w:p>
        </w:tc>
        <w:tc>
          <w:tcPr>
            <w:tcW w:w="1261" w:type="dxa"/>
            <w:shd w:val="clear" w:color="auto" w:fill="FFCC00"/>
            <w:noWrap/>
            <w:hideMark/>
          </w:tcPr>
          <w:p w:rsidR="00CC5AC2" w:rsidRPr="00625ED0" w:rsidRDefault="00CC5AC2" w:rsidP="00E86802">
            <w:pPr>
              <w:spacing w:after="120" w:line="0" w:lineRule="atLeast"/>
              <w:jc w:val="center"/>
              <w:rPr>
                <w:i/>
                <w:sz w:val="18"/>
                <w:szCs w:val="18"/>
              </w:rPr>
            </w:pPr>
            <w:r w:rsidRPr="00625ED0">
              <w:rPr>
                <w:i/>
                <w:sz w:val="18"/>
                <w:szCs w:val="18"/>
              </w:rPr>
              <w:t> </w:t>
            </w:r>
          </w:p>
        </w:tc>
        <w:tc>
          <w:tcPr>
            <w:tcW w:w="1347" w:type="dxa"/>
            <w:shd w:val="clear" w:color="auto" w:fill="FFCC00"/>
            <w:noWrap/>
            <w:hideMark/>
          </w:tcPr>
          <w:p w:rsidR="00CC5AC2" w:rsidRPr="00625ED0" w:rsidRDefault="00CC5AC2" w:rsidP="00E86802">
            <w:pPr>
              <w:spacing w:after="120" w:line="0" w:lineRule="atLeast"/>
              <w:jc w:val="center"/>
              <w:rPr>
                <w:i/>
                <w:sz w:val="18"/>
                <w:szCs w:val="18"/>
              </w:rPr>
            </w:pPr>
            <w:r w:rsidRPr="00625ED0">
              <w:rPr>
                <w:i/>
                <w:sz w:val="18"/>
                <w:szCs w:val="18"/>
              </w:rPr>
              <w:t> </w:t>
            </w:r>
          </w:p>
        </w:tc>
        <w:tc>
          <w:tcPr>
            <w:tcW w:w="859" w:type="dxa"/>
            <w:shd w:val="clear" w:color="auto" w:fill="FFCC00"/>
            <w:noWrap/>
            <w:hideMark/>
          </w:tcPr>
          <w:p w:rsidR="00CC5AC2" w:rsidRPr="00625ED0" w:rsidRDefault="00CC5AC2" w:rsidP="00E86802">
            <w:pPr>
              <w:spacing w:after="120" w:line="0" w:lineRule="atLeast"/>
              <w:jc w:val="center"/>
              <w:rPr>
                <w:i/>
                <w:sz w:val="18"/>
                <w:szCs w:val="18"/>
              </w:rPr>
            </w:pPr>
            <w:r w:rsidRPr="00625ED0">
              <w:rPr>
                <w:i/>
                <w:sz w:val="18"/>
                <w:szCs w:val="18"/>
              </w:rPr>
              <w:t> </w:t>
            </w:r>
          </w:p>
        </w:tc>
        <w:tc>
          <w:tcPr>
            <w:tcW w:w="1240" w:type="dxa"/>
            <w:noWrap/>
            <w:hideMark/>
          </w:tcPr>
          <w:p w:rsidR="00CC5AC2" w:rsidRPr="00625ED0" w:rsidRDefault="00CC5AC2" w:rsidP="00E86802">
            <w:pPr>
              <w:spacing w:after="120" w:line="0" w:lineRule="atLeast"/>
              <w:jc w:val="center"/>
              <w:rPr>
                <w:i/>
                <w:sz w:val="18"/>
                <w:szCs w:val="18"/>
              </w:rPr>
            </w:pPr>
            <w:r w:rsidRPr="00625ED0">
              <w:rPr>
                <w:i/>
                <w:sz w:val="18"/>
                <w:szCs w:val="18"/>
              </w:rPr>
              <w:t> </w:t>
            </w:r>
          </w:p>
        </w:tc>
        <w:tc>
          <w:tcPr>
            <w:tcW w:w="850" w:type="dxa"/>
            <w:shd w:val="clear" w:color="auto" w:fill="FFCC00"/>
            <w:noWrap/>
            <w:hideMark/>
          </w:tcPr>
          <w:p w:rsidR="00CC5AC2" w:rsidRPr="00625ED0" w:rsidRDefault="00CC5AC2" w:rsidP="00E86802">
            <w:pPr>
              <w:spacing w:after="120" w:line="0" w:lineRule="atLeast"/>
              <w:jc w:val="center"/>
              <w:rPr>
                <w:i/>
                <w:sz w:val="18"/>
                <w:szCs w:val="18"/>
              </w:rPr>
            </w:pPr>
            <w:r w:rsidRPr="00625ED0">
              <w:rPr>
                <w:i/>
                <w:sz w:val="18"/>
                <w:szCs w:val="18"/>
              </w:rPr>
              <w:t> </w:t>
            </w:r>
          </w:p>
        </w:tc>
        <w:tc>
          <w:tcPr>
            <w:tcW w:w="1037" w:type="dxa"/>
            <w:shd w:val="clear" w:color="auto" w:fill="FFCC00"/>
            <w:noWrap/>
            <w:hideMark/>
          </w:tcPr>
          <w:p w:rsidR="00CC5AC2" w:rsidRPr="00625ED0" w:rsidRDefault="00CC5AC2" w:rsidP="00E86802">
            <w:pPr>
              <w:spacing w:after="120" w:line="0" w:lineRule="atLeast"/>
              <w:jc w:val="center"/>
              <w:rPr>
                <w:i/>
                <w:sz w:val="18"/>
                <w:szCs w:val="18"/>
              </w:rPr>
            </w:pPr>
            <w:r w:rsidRPr="00625ED0">
              <w:rPr>
                <w:i/>
                <w:sz w:val="18"/>
                <w:szCs w:val="18"/>
              </w:rPr>
              <w:t> </w:t>
            </w:r>
          </w:p>
        </w:tc>
        <w:tc>
          <w:tcPr>
            <w:tcW w:w="1003" w:type="dxa"/>
            <w:shd w:val="clear" w:color="auto" w:fill="FFCC00"/>
            <w:noWrap/>
            <w:hideMark/>
          </w:tcPr>
          <w:p w:rsidR="00CC5AC2" w:rsidRPr="00625ED0" w:rsidRDefault="00CC5AC2" w:rsidP="00E86802">
            <w:pPr>
              <w:spacing w:after="120" w:line="0" w:lineRule="atLeast"/>
              <w:jc w:val="center"/>
              <w:rPr>
                <w:i/>
                <w:sz w:val="18"/>
                <w:szCs w:val="18"/>
              </w:rPr>
            </w:pPr>
            <w:r w:rsidRPr="00625ED0">
              <w:rPr>
                <w:i/>
                <w:sz w:val="18"/>
                <w:szCs w:val="18"/>
              </w:rPr>
              <w:t> </w:t>
            </w:r>
          </w:p>
        </w:tc>
      </w:tr>
      <w:tr w:rsidR="00625ED0" w:rsidRPr="00625ED0" w:rsidTr="00542DA1">
        <w:trPr>
          <w:trHeight w:val="300"/>
        </w:trPr>
        <w:tc>
          <w:tcPr>
            <w:tcW w:w="1361" w:type="dxa"/>
            <w:shd w:val="clear" w:color="auto" w:fill="92CDDC" w:themeFill="accent5" w:themeFillTint="99"/>
            <w:noWrap/>
            <w:hideMark/>
          </w:tcPr>
          <w:p w:rsidR="00CC5AC2" w:rsidRPr="00625ED0" w:rsidRDefault="00CC5AC2" w:rsidP="00E86802">
            <w:pPr>
              <w:spacing w:after="120" w:line="0" w:lineRule="atLeast"/>
              <w:jc w:val="center"/>
              <w:rPr>
                <w:b/>
                <w:bCs/>
                <w:i/>
                <w:sz w:val="18"/>
                <w:szCs w:val="18"/>
              </w:rPr>
            </w:pPr>
            <w:r w:rsidRPr="00625ED0">
              <w:rPr>
                <w:b/>
                <w:bCs/>
                <w:i/>
                <w:sz w:val="18"/>
                <w:szCs w:val="18"/>
              </w:rPr>
              <w:t>Artigianato</w:t>
            </w:r>
          </w:p>
        </w:tc>
        <w:tc>
          <w:tcPr>
            <w:tcW w:w="1270" w:type="dxa"/>
            <w:shd w:val="clear" w:color="auto" w:fill="92CDDC" w:themeFill="accent5" w:themeFillTint="99"/>
            <w:noWrap/>
            <w:hideMark/>
          </w:tcPr>
          <w:p w:rsidR="00CC5AC2" w:rsidRPr="00625ED0" w:rsidRDefault="00CC5AC2" w:rsidP="00E86802">
            <w:pPr>
              <w:spacing w:after="120" w:line="0" w:lineRule="atLeast"/>
              <w:jc w:val="center"/>
              <w:rPr>
                <w:i/>
                <w:sz w:val="18"/>
                <w:szCs w:val="18"/>
              </w:rPr>
            </w:pPr>
            <w:r w:rsidRPr="00625ED0">
              <w:rPr>
                <w:i/>
                <w:sz w:val="18"/>
                <w:szCs w:val="18"/>
              </w:rPr>
              <w:t> </w:t>
            </w:r>
          </w:p>
        </w:tc>
        <w:tc>
          <w:tcPr>
            <w:tcW w:w="1261" w:type="dxa"/>
            <w:shd w:val="clear" w:color="auto" w:fill="92CDDC" w:themeFill="accent5" w:themeFillTint="99"/>
            <w:noWrap/>
            <w:hideMark/>
          </w:tcPr>
          <w:p w:rsidR="00CC5AC2" w:rsidRPr="00625ED0" w:rsidRDefault="00CC5AC2" w:rsidP="00E86802">
            <w:pPr>
              <w:spacing w:after="120" w:line="0" w:lineRule="atLeast"/>
              <w:jc w:val="center"/>
              <w:rPr>
                <w:i/>
                <w:sz w:val="18"/>
                <w:szCs w:val="18"/>
              </w:rPr>
            </w:pPr>
            <w:r w:rsidRPr="00625ED0">
              <w:rPr>
                <w:i/>
                <w:sz w:val="18"/>
                <w:szCs w:val="18"/>
              </w:rPr>
              <w:t> </w:t>
            </w:r>
          </w:p>
        </w:tc>
        <w:tc>
          <w:tcPr>
            <w:tcW w:w="1347" w:type="dxa"/>
            <w:noWrap/>
            <w:hideMark/>
          </w:tcPr>
          <w:p w:rsidR="00CC5AC2" w:rsidRPr="00625ED0" w:rsidRDefault="00CC5AC2" w:rsidP="00E86802">
            <w:pPr>
              <w:spacing w:after="120" w:line="0" w:lineRule="atLeast"/>
              <w:jc w:val="center"/>
              <w:rPr>
                <w:i/>
                <w:sz w:val="18"/>
                <w:szCs w:val="18"/>
              </w:rPr>
            </w:pPr>
            <w:r w:rsidRPr="00625ED0">
              <w:rPr>
                <w:i/>
                <w:sz w:val="18"/>
                <w:szCs w:val="18"/>
              </w:rPr>
              <w:t> </w:t>
            </w:r>
          </w:p>
        </w:tc>
        <w:tc>
          <w:tcPr>
            <w:tcW w:w="859" w:type="dxa"/>
            <w:shd w:val="clear" w:color="auto" w:fill="92CDDC" w:themeFill="accent5" w:themeFillTint="99"/>
            <w:noWrap/>
            <w:hideMark/>
          </w:tcPr>
          <w:p w:rsidR="00CC5AC2" w:rsidRPr="00625ED0" w:rsidRDefault="00CC5AC2" w:rsidP="00E86802">
            <w:pPr>
              <w:spacing w:after="120" w:line="0" w:lineRule="atLeast"/>
              <w:jc w:val="center"/>
              <w:rPr>
                <w:i/>
                <w:sz w:val="18"/>
                <w:szCs w:val="18"/>
              </w:rPr>
            </w:pPr>
            <w:r w:rsidRPr="00625ED0">
              <w:rPr>
                <w:i/>
                <w:sz w:val="18"/>
                <w:szCs w:val="18"/>
              </w:rPr>
              <w:t> </w:t>
            </w:r>
          </w:p>
        </w:tc>
        <w:tc>
          <w:tcPr>
            <w:tcW w:w="1240" w:type="dxa"/>
            <w:noWrap/>
            <w:hideMark/>
          </w:tcPr>
          <w:p w:rsidR="00CC5AC2" w:rsidRPr="00625ED0" w:rsidRDefault="00CC5AC2" w:rsidP="00E86802">
            <w:pPr>
              <w:spacing w:after="120" w:line="0" w:lineRule="atLeast"/>
              <w:jc w:val="center"/>
              <w:rPr>
                <w:i/>
                <w:sz w:val="18"/>
                <w:szCs w:val="18"/>
              </w:rPr>
            </w:pPr>
            <w:r w:rsidRPr="00625ED0">
              <w:rPr>
                <w:i/>
                <w:sz w:val="18"/>
                <w:szCs w:val="18"/>
              </w:rPr>
              <w:t> </w:t>
            </w:r>
          </w:p>
        </w:tc>
        <w:tc>
          <w:tcPr>
            <w:tcW w:w="850" w:type="dxa"/>
            <w:noWrap/>
            <w:hideMark/>
          </w:tcPr>
          <w:p w:rsidR="00CC5AC2" w:rsidRPr="00625ED0" w:rsidRDefault="00CC5AC2" w:rsidP="00E86802">
            <w:pPr>
              <w:spacing w:after="120" w:line="0" w:lineRule="atLeast"/>
              <w:jc w:val="center"/>
              <w:rPr>
                <w:i/>
                <w:sz w:val="18"/>
                <w:szCs w:val="18"/>
              </w:rPr>
            </w:pPr>
            <w:r w:rsidRPr="00625ED0">
              <w:rPr>
                <w:i/>
                <w:sz w:val="18"/>
                <w:szCs w:val="18"/>
              </w:rPr>
              <w:t> </w:t>
            </w:r>
          </w:p>
        </w:tc>
        <w:tc>
          <w:tcPr>
            <w:tcW w:w="1037" w:type="dxa"/>
            <w:shd w:val="clear" w:color="auto" w:fill="92CDDC" w:themeFill="accent5" w:themeFillTint="99"/>
            <w:noWrap/>
            <w:hideMark/>
          </w:tcPr>
          <w:p w:rsidR="00CC5AC2" w:rsidRPr="00625ED0" w:rsidRDefault="00CC5AC2" w:rsidP="00E86802">
            <w:pPr>
              <w:spacing w:after="120" w:line="0" w:lineRule="atLeast"/>
              <w:jc w:val="center"/>
              <w:rPr>
                <w:i/>
                <w:sz w:val="18"/>
                <w:szCs w:val="18"/>
              </w:rPr>
            </w:pPr>
            <w:r w:rsidRPr="00625ED0">
              <w:rPr>
                <w:i/>
                <w:sz w:val="18"/>
                <w:szCs w:val="18"/>
              </w:rPr>
              <w:t> </w:t>
            </w:r>
          </w:p>
        </w:tc>
        <w:tc>
          <w:tcPr>
            <w:tcW w:w="1003" w:type="dxa"/>
            <w:shd w:val="clear" w:color="auto" w:fill="92CDDC" w:themeFill="accent5" w:themeFillTint="99"/>
            <w:noWrap/>
            <w:hideMark/>
          </w:tcPr>
          <w:p w:rsidR="00CC5AC2" w:rsidRPr="00625ED0" w:rsidRDefault="00CC5AC2" w:rsidP="00E86802">
            <w:pPr>
              <w:spacing w:after="120" w:line="0" w:lineRule="atLeast"/>
              <w:jc w:val="center"/>
              <w:rPr>
                <w:i/>
                <w:sz w:val="18"/>
                <w:szCs w:val="18"/>
              </w:rPr>
            </w:pPr>
            <w:r w:rsidRPr="00625ED0">
              <w:rPr>
                <w:i/>
                <w:sz w:val="18"/>
                <w:szCs w:val="18"/>
              </w:rPr>
              <w:t> </w:t>
            </w:r>
          </w:p>
        </w:tc>
      </w:tr>
      <w:tr w:rsidR="00542DA1" w:rsidRPr="00625ED0" w:rsidTr="00542DA1">
        <w:trPr>
          <w:trHeight w:val="300"/>
        </w:trPr>
        <w:tc>
          <w:tcPr>
            <w:tcW w:w="1361" w:type="dxa"/>
            <w:shd w:val="clear" w:color="auto" w:fill="B2A1C7" w:themeFill="accent4" w:themeFillTint="99"/>
            <w:noWrap/>
            <w:hideMark/>
          </w:tcPr>
          <w:p w:rsidR="00CC5AC2" w:rsidRPr="00625ED0" w:rsidRDefault="00CC5AC2" w:rsidP="00E86802">
            <w:pPr>
              <w:spacing w:after="120" w:line="0" w:lineRule="atLeast"/>
              <w:jc w:val="center"/>
              <w:rPr>
                <w:b/>
                <w:bCs/>
                <w:i/>
                <w:sz w:val="18"/>
                <w:szCs w:val="18"/>
              </w:rPr>
            </w:pPr>
            <w:r w:rsidRPr="00625ED0">
              <w:rPr>
                <w:b/>
                <w:bCs/>
                <w:i/>
                <w:sz w:val="18"/>
                <w:szCs w:val="18"/>
              </w:rPr>
              <w:t xml:space="preserve">Ristorazione </w:t>
            </w:r>
          </w:p>
        </w:tc>
        <w:tc>
          <w:tcPr>
            <w:tcW w:w="1270" w:type="dxa"/>
            <w:shd w:val="clear" w:color="auto" w:fill="B2A1C7" w:themeFill="accent4" w:themeFillTint="99"/>
            <w:noWrap/>
            <w:hideMark/>
          </w:tcPr>
          <w:p w:rsidR="00CC5AC2" w:rsidRPr="00625ED0" w:rsidRDefault="00CC5AC2" w:rsidP="00E86802">
            <w:pPr>
              <w:spacing w:after="120" w:line="0" w:lineRule="atLeast"/>
              <w:jc w:val="center"/>
              <w:rPr>
                <w:i/>
                <w:sz w:val="18"/>
                <w:szCs w:val="18"/>
              </w:rPr>
            </w:pPr>
            <w:r w:rsidRPr="00625ED0">
              <w:rPr>
                <w:i/>
                <w:sz w:val="18"/>
                <w:szCs w:val="18"/>
              </w:rPr>
              <w:t> </w:t>
            </w:r>
          </w:p>
        </w:tc>
        <w:tc>
          <w:tcPr>
            <w:tcW w:w="1261" w:type="dxa"/>
            <w:shd w:val="clear" w:color="auto" w:fill="B2A1C7" w:themeFill="accent4" w:themeFillTint="99"/>
            <w:noWrap/>
            <w:hideMark/>
          </w:tcPr>
          <w:p w:rsidR="00CC5AC2" w:rsidRPr="00625ED0" w:rsidRDefault="00CC5AC2" w:rsidP="00E86802">
            <w:pPr>
              <w:spacing w:after="120" w:line="0" w:lineRule="atLeast"/>
              <w:jc w:val="center"/>
              <w:rPr>
                <w:i/>
                <w:sz w:val="18"/>
                <w:szCs w:val="18"/>
              </w:rPr>
            </w:pPr>
            <w:r w:rsidRPr="00625ED0">
              <w:rPr>
                <w:i/>
                <w:sz w:val="18"/>
                <w:szCs w:val="18"/>
              </w:rPr>
              <w:t> </w:t>
            </w:r>
          </w:p>
        </w:tc>
        <w:tc>
          <w:tcPr>
            <w:tcW w:w="1347" w:type="dxa"/>
            <w:shd w:val="clear" w:color="auto" w:fill="B2A1C7" w:themeFill="accent4" w:themeFillTint="99"/>
            <w:noWrap/>
            <w:hideMark/>
          </w:tcPr>
          <w:p w:rsidR="00CC5AC2" w:rsidRPr="00625ED0" w:rsidRDefault="00CC5AC2" w:rsidP="00E86802">
            <w:pPr>
              <w:spacing w:after="120" w:line="0" w:lineRule="atLeast"/>
              <w:jc w:val="center"/>
              <w:rPr>
                <w:i/>
                <w:sz w:val="18"/>
                <w:szCs w:val="18"/>
              </w:rPr>
            </w:pPr>
            <w:r w:rsidRPr="00625ED0">
              <w:rPr>
                <w:i/>
                <w:sz w:val="18"/>
                <w:szCs w:val="18"/>
              </w:rPr>
              <w:t> </w:t>
            </w:r>
          </w:p>
        </w:tc>
        <w:tc>
          <w:tcPr>
            <w:tcW w:w="859" w:type="dxa"/>
            <w:shd w:val="clear" w:color="auto" w:fill="B2A1C7" w:themeFill="accent4" w:themeFillTint="99"/>
            <w:noWrap/>
            <w:hideMark/>
          </w:tcPr>
          <w:p w:rsidR="00CC5AC2" w:rsidRPr="00625ED0" w:rsidRDefault="00CC5AC2" w:rsidP="00E86802">
            <w:pPr>
              <w:spacing w:after="120" w:line="0" w:lineRule="atLeast"/>
              <w:jc w:val="center"/>
              <w:rPr>
                <w:i/>
                <w:sz w:val="18"/>
                <w:szCs w:val="18"/>
              </w:rPr>
            </w:pPr>
            <w:r w:rsidRPr="00625ED0">
              <w:rPr>
                <w:i/>
                <w:sz w:val="18"/>
                <w:szCs w:val="18"/>
              </w:rPr>
              <w:t> </w:t>
            </w:r>
          </w:p>
        </w:tc>
        <w:tc>
          <w:tcPr>
            <w:tcW w:w="1240" w:type="dxa"/>
            <w:shd w:val="clear" w:color="auto" w:fill="B2A1C7" w:themeFill="accent4" w:themeFillTint="99"/>
            <w:noWrap/>
            <w:hideMark/>
          </w:tcPr>
          <w:p w:rsidR="00CC5AC2" w:rsidRPr="00625ED0" w:rsidRDefault="00CC5AC2" w:rsidP="00E86802">
            <w:pPr>
              <w:spacing w:after="120" w:line="0" w:lineRule="atLeast"/>
              <w:jc w:val="center"/>
              <w:rPr>
                <w:i/>
                <w:sz w:val="18"/>
                <w:szCs w:val="18"/>
              </w:rPr>
            </w:pPr>
            <w:r w:rsidRPr="00625ED0">
              <w:rPr>
                <w:i/>
                <w:sz w:val="18"/>
                <w:szCs w:val="18"/>
              </w:rPr>
              <w:t> </w:t>
            </w:r>
          </w:p>
        </w:tc>
        <w:tc>
          <w:tcPr>
            <w:tcW w:w="850" w:type="dxa"/>
            <w:shd w:val="clear" w:color="auto" w:fill="B2A1C7" w:themeFill="accent4" w:themeFillTint="99"/>
            <w:noWrap/>
            <w:hideMark/>
          </w:tcPr>
          <w:p w:rsidR="00CC5AC2" w:rsidRPr="00625ED0" w:rsidRDefault="00CC5AC2" w:rsidP="00E86802">
            <w:pPr>
              <w:spacing w:after="120" w:line="0" w:lineRule="atLeast"/>
              <w:jc w:val="center"/>
              <w:rPr>
                <w:i/>
                <w:sz w:val="18"/>
                <w:szCs w:val="18"/>
              </w:rPr>
            </w:pPr>
            <w:r w:rsidRPr="00625ED0">
              <w:rPr>
                <w:i/>
                <w:sz w:val="18"/>
                <w:szCs w:val="18"/>
              </w:rPr>
              <w:t> </w:t>
            </w:r>
          </w:p>
        </w:tc>
        <w:tc>
          <w:tcPr>
            <w:tcW w:w="1037" w:type="dxa"/>
            <w:shd w:val="clear" w:color="auto" w:fill="B2A1C7" w:themeFill="accent4" w:themeFillTint="99"/>
            <w:noWrap/>
            <w:hideMark/>
          </w:tcPr>
          <w:p w:rsidR="00CC5AC2" w:rsidRPr="00625ED0" w:rsidRDefault="00CC5AC2" w:rsidP="00E86802">
            <w:pPr>
              <w:spacing w:after="120" w:line="0" w:lineRule="atLeast"/>
              <w:jc w:val="center"/>
              <w:rPr>
                <w:i/>
                <w:sz w:val="18"/>
                <w:szCs w:val="18"/>
              </w:rPr>
            </w:pPr>
            <w:r w:rsidRPr="00625ED0">
              <w:rPr>
                <w:i/>
                <w:sz w:val="18"/>
                <w:szCs w:val="18"/>
              </w:rPr>
              <w:t> </w:t>
            </w:r>
          </w:p>
        </w:tc>
        <w:tc>
          <w:tcPr>
            <w:tcW w:w="1003" w:type="dxa"/>
            <w:noWrap/>
            <w:hideMark/>
          </w:tcPr>
          <w:p w:rsidR="00CC5AC2" w:rsidRPr="00625ED0" w:rsidRDefault="00CC5AC2" w:rsidP="00E86802">
            <w:pPr>
              <w:spacing w:after="120" w:line="0" w:lineRule="atLeast"/>
              <w:jc w:val="center"/>
              <w:rPr>
                <w:i/>
                <w:sz w:val="18"/>
                <w:szCs w:val="18"/>
              </w:rPr>
            </w:pPr>
            <w:r w:rsidRPr="00625ED0">
              <w:rPr>
                <w:i/>
                <w:sz w:val="18"/>
                <w:szCs w:val="18"/>
              </w:rPr>
              <w:t> </w:t>
            </w:r>
          </w:p>
        </w:tc>
      </w:tr>
    </w:tbl>
    <w:p w:rsidR="00542DA1" w:rsidRDefault="00542DA1" w:rsidP="00E86802">
      <w:pPr>
        <w:spacing w:after="120" w:line="0" w:lineRule="atLeast"/>
        <w:jc w:val="both"/>
      </w:pPr>
    </w:p>
    <w:p w:rsidR="00312A8F" w:rsidRDefault="00EA6217" w:rsidP="00E86802">
      <w:pPr>
        <w:spacing w:after="120" w:line="0" w:lineRule="atLeast"/>
        <w:jc w:val="both"/>
      </w:pPr>
      <w:r w:rsidRPr="00E86802">
        <w:t>Fonte: Laboratorio Erasmus+ “cantieri d’Europa”, 2016</w:t>
      </w:r>
    </w:p>
    <w:p w:rsidR="00A17913" w:rsidRPr="00E86802" w:rsidRDefault="008765A2" w:rsidP="00E86802">
      <w:pPr>
        <w:spacing w:after="120" w:line="0" w:lineRule="atLeast"/>
        <w:jc w:val="both"/>
      </w:pPr>
      <w:r w:rsidRPr="00E86802">
        <w:t>Osservando le</w:t>
      </w:r>
      <w:r w:rsidR="0085687E">
        <w:t xml:space="preserve"> Tabelle 3 e 4</w:t>
      </w:r>
      <w:r w:rsidR="00A17913" w:rsidRPr="00E86802">
        <w:t xml:space="preserve">, è possibile rilevare come i servizi che offrono le dimore storiche oggetto dell’indagine, e le conseguenti competenze </w:t>
      </w:r>
      <w:r w:rsidR="00B23548" w:rsidRPr="00E86802">
        <w:t>tecniche e trasversali acquisibili</w:t>
      </w:r>
      <w:r w:rsidR="00A17913" w:rsidRPr="00E86802">
        <w:t xml:space="preserve"> nell’ambito dei percorsi di alterna</w:t>
      </w:r>
      <w:r w:rsidRPr="00E86802">
        <w:t>nza scuola-lavoro, ben si adatti</w:t>
      </w:r>
      <w:r w:rsidR="00A17913" w:rsidRPr="00E86802">
        <w:t xml:space="preserve">no sia ai ragazzi provenienti da istituti tecnici e professionali, sia agli studenti liceali.  </w:t>
      </w:r>
      <w:r w:rsidR="00B10629" w:rsidRPr="00E86802">
        <w:t xml:space="preserve">Infatti, oltre alla delineazione di figure professionali di settore, le attività che gli studenti potrebbero svolgere presso le dimore storiche permetterebbero </w:t>
      </w:r>
      <w:r w:rsidRPr="00E86802">
        <w:t xml:space="preserve">loro </w:t>
      </w:r>
      <w:r w:rsidR="00B10629" w:rsidRPr="00E86802">
        <w:t>di sviluppare quelle competenze trasversali molt</w:t>
      </w:r>
      <w:r w:rsidR="00B23548" w:rsidRPr="00E86802">
        <w:t>o richieste nel</w:t>
      </w:r>
      <w:r w:rsidR="00B10629" w:rsidRPr="00E86802">
        <w:t xml:space="preserve"> mercato del lavoro. </w:t>
      </w:r>
    </w:p>
    <w:p w:rsidR="008248D9" w:rsidRDefault="00B10629" w:rsidP="00E86802">
      <w:pPr>
        <w:spacing w:after="120" w:line="0" w:lineRule="atLeast"/>
        <w:jc w:val="both"/>
      </w:pPr>
      <w:r w:rsidRPr="00E86802">
        <w:t xml:space="preserve">Naturalmente, come per l’analisi quantitativa, anche </w:t>
      </w:r>
      <w:r w:rsidR="008248D9" w:rsidRPr="00E86802">
        <w:t>l’indagine</w:t>
      </w:r>
      <w:r w:rsidRPr="00E86802">
        <w:t xml:space="preserve"> qualitativa non vuole fornire risultati definitivi ed incontestabili, bensì mira ad evidenziare le potenzialità di un capitale storico-culturale, </w:t>
      </w:r>
      <w:r w:rsidRPr="00E86802">
        <w:lastRenderedPageBreak/>
        <w:t xml:space="preserve">come quello delle dimore storiche, troppo spesso sottovalutato </w:t>
      </w:r>
      <w:r w:rsidR="008248D9" w:rsidRPr="00E86802">
        <w:t>dalle principali istituzioni e attori economici del nostro Paese</w:t>
      </w:r>
      <w:r w:rsidRPr="00E86802">
        <w:t>.</w:t>
      </w:r>
      <w:r w:rsidR="008248D9" w:rsidRPr="00E86802">
        <w:t xml:space="preserve"> A tal fine, l</w:t>
      </w:r>
      <w:r w:rsidRPr="00E86802">
        <w:t>a Fondazione Bruno Visentini, in collaborazione con l’</w:t>
      </w:r>
      <w:r w:rsidR="008248D9" w:rsidRPr="00E86802">
        <w:t xml:space="preserve">ADSI, </w:t>
      </w:r>
      <w:r w:rsidR="008765A2" w:rsidRPr="00E86802">
        <w:t>si è posta proprio</w:t>
      </w:r>
      <w:r w:rsidR="008248D9" w:rsidRPr="00E86802">
        <w:t xml:space="preserve"> l’obiettivo di approfondire lo studio, la promozione e l’informazione sui temi della conservazione, protezione, gestione e valorizzazione del patrimonio storico-culturale italiano, anche attraverso il rafforzamento del raccordo tra scuola e mercato del lavoro. </w:t>
      </w:r>
    </w:p>
    <w:p w:rsidR="00C72BBA" w:rsidRPr="00E86802" w:rsidRDefault="00C72BBA" w:rsidP="00E86802">
      <w:pPr>
        <w:spacing w:after="120" w:line="0" w:lineRule="atLeast"/>
        <w:jc w:val="both"/>
      </w:pPr>
    </w:p>
    <w:p w:rsidR="00B23548" w:rsidRDefault="00B23548" w:rsidP="00E86802">
      <w:pPr>
        <w:spacing w:after="120" w:line="0" w:lineRule="atLeast"/>
        <w:jc w:val="both"/>
        <w:rPr>
          <w:b/>
        </w:rPr>
      </w:pPr>
      <w:r w:rsidRPr="00E86802">
        <w:rPr>
          <w:b/>
        </w:rPr>
        <w:t>4. Conclusioni</w:t>
      </w:r>
    </w:p>
    <w:p w:rsidR="00C72BBA" w:rsidRPr="00E86802" w:rsidRDefault="00C72BBA" w:rsidP="00E86802">
      <w:pPr>
        <w:spacing w:after="120" w:line="0" w:lineRule="atLeast"/>
        <w:jc w:val="both"/>
        <w:rPr>
          <w:b/>
        </w:rPr>
      </w:pPr>
    </w:p>
    <w:p w:rsidR="00B23548" w:rsidRPr="00625ED0" w:rsidRDefault="00B23548" w:rsidP="00E86802">
      <w:pPr>
        <w:spacing w:after="120" w:line="0" w:lineRule="atLeast"/>
        <w:jc w:val="both"/>
      </w:pPr>
      <w:r w:rsidRPr="00E86802">
        <w:t xml:space="preserve">Gli spunti emersi da questa prima indagine, che meriterebbe un approfondimento in termini di fabbisogni formativi inespressi dal sistema </w:t>
      </w:r>
      <w:r w:rsidRPr="00625ED0">
        <w:t xml:space="preserve">produttivo culturale e creativo e una trasposizione a livello nazionale che tenga conto dei limiti ma anche delle opportunità che potrebbero rilevarsi nelle regioni meridionali del paese, lasciano ben sperare sull’impatto del nuovo protocollo di intesa sottoscritto nel mese di </w:t>
      </w:r>
      <w:r w:rsidR="000D7FEC" w:rsidRPr="00625ED0">
        <w:t xml:space="preserve">giugno </w:t>
      </w:r>
      <w:r w:rsidRPr="00625ED0">
        <w:t>2016 tra Il MIUR e l’ADSI.</w:t>
      </w:r>
    </w:p>
    <w:p w:rsidR="00B23548" w:rsidRPr="00E86802" w:rsidRDefault="00B23548" w:rsidP="00E86802">
      <w:pPr>
        <w:spacing w:after="120" w:line="0" w:lineRule="atLeast"/>
        <w:jc w:val="both"/>
      </w:pPr>
      <w:r w:rsidRPr="00625ED0">
        <w:t xml:space="preserve">Una iniziativa quest’ultima che coraggiosamente mette in relazione due fattori chiave del nostro paese, cioè il patrimonio umano rappresentato dalle nostre nuove generazioni </w:t>
      </w:r>
      <w:r w:rsidR="00D979D8" w:rsidRPr="00625ED0">
        <w:t>e il patrimonio storico artistico e culturale custodito dalle dimore storiche.  Una “</w:t>
      </w:r>
      <w:r w:rsidR="00D979D8" w:rsidRPr="00E86802">
        <w:t xml:space="preserve">naturale” alleanza dunque, il cui successo è legato alla </w:t>
      </w:r>
      <w:r w:rsidR="00516EBB">
        <w:t>capacità di entrambi i “custodi”</w:t>
      </w:r>
      <w:r w:rsidR="00D979D8" w:rsidRPr="00E86802">
        <w:t xml:space="preserve"> (dirigenti scolastici da un lato e proprietari dall’altro) si andare oltre le inevitabili difficoltà che si verranno a creare all’inizio tra due realtà che non hanno mai avuto se non sporadicamente occasioni di contatto. Mai come in questo frangente vale l’esortazione del Manifesto di Ventotene: “La via da percorrere non è facile né sicura, ma deve essere percorsa e lo sarà</w:t>
      </w:r>
      <w:r w:rsidR="00516EBB" w:rsidRPr="00E86802">
        <w:t>”.</w:t>
      </w:r>
    </w:p>
    <w:p w:rsidR="00814589" w:rsidRPr="00542DA1" w:rsidRDefault="0007688D" w:rsidP="00E86802">
      <w:pPr>
        <w:spacing w:after="120" w:line="0" w:lineRule="atLeast"/>
        <w:jc w:val="both"/>
        <w:rPr>
          <w:rFonts w:cs="Arial"/>
          <w:shd w:val="clear" w:color="auto" w:fill="FFFFFF"/>
        </w:rPr>
      </w:pPr>
      <w:r w:rsidRPr="00E86802">
        <w:t>Questa stretta via passa anche per l’affermazione di quel bene di identità colle</w:t>
      </w:r>
      <w:r w:rsidR="00E86802" w:rsidRPr="00E86802">
        <w:t>ttivo</w:t>
      </w:r>
      <w:r w:rsidR="0085687E">
        <w:rPr>
          <w:rStyle w:val="Rimandonotaapidipagina"/>
        </w:rPr>
        <w:footnoteReference w:id="11"/>
      </w:r>
      <w:r w:rsidR="00E86802" w:rsidRPr="00E86802">
        <w:t xml:space="preserve"> che spesso rappresenta la</w:t>
      </w:r>
      <w:r w:rsidRPr="00E86802">
        <w:t xml:space="preserve"> dimora storica e la sua capacità di raccontare e raccontarsi. Voglio allora concludere con una affermazione di </w:t>
      </w:r>
      <w:r w:rsidR="00E86802" w:rsidRPr="00E86802">
        <w:t xml:space="preserve">Orhan </w:t>
      </w:r>
      <w:r w:rsidRPr="00E86802">
        <w:t xml:space="preserve">Pamuk, premio </w:t>
      </w:r>
      <w:r w:rsidR="006F1168">
        <w:t>N</w:t>
      </w:r>
      <w:r w:rsidRPr="00E86802">
        <w:t>obel Turco per la letteratura</w:t>
      </w:r>
      <w:r w:rsidR="00E86802" w:rsidRPr="00E86802">
        <w:t xml:space="preserve"> e autore, tra gli altri, de </w:t>
      </w:r>
      <w:r w:rsidR="00E86802" w:rsidRPr="00E86802">
        <w:rPr>
          <w:i/>
        </w:rPr>
        <w:t xml:space="preserve">Il Museo </w:t>
      </w:r>
      <w:r w:rsidR="00E86802" w:rsidRPr="00542DA1">
        <w:rPr>
          <w:i/>
        </w:rPr>
        <w:t>dell’Innocenza</w:t>
      </w:r>
      <w:r w:rsidRPr="00542DA1">
        <w:t xml:space="preserve">: </w:t>
      </w:r>
      <w:r w:rsidR="00E86802" w:rsidRPr="00542DA1">
        <w:rPr>
          <w:rFonts w:cs="Arial"/>
          <w:shd w:val="clear" w:color="auto" w:fill="FFFFFF"/>
        </w:rPr>
        <w:t xml:space="preserve"> </w:t>
      </w:r>
    </w:p>
    <w:p w:rsidR="0007688D" w:rsidRPr="00542DA1" w:rsidRDefault="00E86802" w:rsidP="00E86802">
      <w:pPr>
        <w:spacing w:after="120" w:line="0" w:lineRule="atLeast"/>
        <w:jc w:val="both"/>
        <w:rPr>
          <w:rStyle w:val="apple-converted-space"/>
          <w:rFonts w:cs="Arial"/>
          <w:shd w:val="clear" w:color="auto" w:fill="FFFFFF"/>
        </w:rPr>
      </w:pPr>
      <w:r w:rsidRPr="00542DA1">
        <w:rPr>
          <w:rFonts w:cs="Arial"/>
          <w:shd w:val="clear" w:color="auto" w:fill="FFFFFF"/>
        </w:rPr>
        <w:t>“</w:t>
      </w:r>
      <w:r w:rsidR="0007688D" w:rsidRPr="00542DA1">
        <w:rPr>
          <w:rFonts w:cs="Arial"/>
          <w:shd w:val="clear" w:color="auto" w:fill="FFFFFF"/>
        </w:rPr>
        <w:t>Visitando le città europee ho capito che i musei, come i romanzi, possono raccontare gli individui. Sono tesori del genere umano, ma sono contro l’utilizzo che ne viene fatto</w:t>
      </w:r>
      <w:r w:rsidRPr="00542DA1">
        <w:rPr>
          <w:rFonts w:cs="Arial"/>
          <w:shd w:val="clear" w:color="auto" w:fill="FFFFFF"/>
        </w:rPr>
        <w:t xml:space="preserve"> (…)</w:t>
      </w:r>
      <w:r w:rsidR="0007688D" w:rsidRPr="00542DA1">
        <w:rPr>
          <w:rFonts w:cs="Arial"/>
          <w:shd w:val="clear" w:color="auto" w:fill="FFFFFF"/>
        </w:rPr>
        <w:t>. Lo scopo dei musei statali è quello di rappresentare lo Stato: e questo non è né buono né innocente.</w:t>
      </w:r>
      <w:r w:rsidR="0007688D" w:rsidRPr="00542DA1">
        <w:rPr>
          <w:rStyle w:val="apple-converted-space"/>
          <w:rFonts w:cs="Arial"/>
          <w:shd w:val="clear" w:color="auto" w:fill="FFFFFF"/>
        </w:rPr>
        <w:t> </w:t>
      </w:r>
      <w:r w:rsidRPr="00542DA1">
        <w:rPr>
          <w:rStyle w:val="apple-converted-space"/>
          <w:rFonts w:cs="Arial"/>
          <w:shd w:val="clear" w:color="auto" w:fill="FFFFFF"/>
        </w:rPr>
        <w:t xml:space="preserve">(…) </w:t>
      </w:r>
      <w:r w:rsidR="0007688D" w:rsidRPr="00542DA1">
        <w:rPr>
          <w:rFonts w:cs="Arial"/>
          <w:shd w:val="clear" w:color="auto" w:fill="FFFFFF"/>
        </w:rPr>
        <w:t xml:space="preserve">I musei nazionali mostrano la storia delle nazioni, secondo la teoria per cui questa sia più importante della storia degli individui. Ma solo le storie individuali riescono a dipingere la profondità della nostra </w:t>
      </w:r>
      <w:r w:rsidRPr="00542DA1">
        <w:rPr>
          <w:rFonts w:cs="Arial"/>
          <w:shd w:val="clear" w:color="auto" w:fill="FFFFFF"/>
        </w:rPr>
        <w:t xml:space="preserve">umanità (…) </w:t>
      </w:r>
      <w:r w:rsidR="0007688D" w:rsidRPr="00542DA1">
        <w:rPr>
          <w:rFonts w:cs="Arial"/>
          <w:shd w:val="clear" w:color="auto" w:fill="FFFFFF"/>
        </w:rPr>
        <w:t>I musei devono diventare più piccoli, meno costosi: così possono raccontare storie a livello umano</w:t>
      </w:r>
      <w:r w:rsidRPr="00542DA1">
        <w:rPr>
          <w:rFonts w:cs="Arial"/>
          <w:shd w:val="clear" w:color="auto" w:fill="FFFFFF"/>
        </w:rPr>
        <w:t xml:space="preserve"> (…) </w:t>
      </w:r>
      <w:r w:rsidR="0007688D" w:rsidRPr="00542DA1">
        <w:rPr>
          <w:rFonts w:cs="Arial"/>
          <w:shd w:val="clear" w:color="auto" w:fill="FFFFFF"/>
        </w:rPr>
        <w:t>il futuro del museo è dentro le nostre case</w:t>
      </w:r>
      <w:r w:rsidRPr="00542DA1">
        <w:rPr>
          <w:rFonts w:cs="Arial"/>
          <w:shd w:val="clear" w:color="auto" w:fill="FFFFFF"/>
        </w:rPr>
        <w:t>”</w:t>
      </w:r>
      <w:r w:rsidR="0007688D" w:rsidRPr="00542DA1">
        <w:rPr>
          <w:rFonts w:cs="Arial"/>
          <w:shd w:val="clear" w:color="auto" w:fill="FFFFFF"/>
        </w:rPr>
        <w:t>.</w:t>
      </w:r>
      <w:r w:rsidR="0007688D" w:rsidRPr="00542DA1">
        <w:rPr>
          <w:rStyle w:val="apple-converted-space"/>
          <w:rFonts w:cs="Arial"/>
          <w:shd w:val="clear" w:color="auto" w:fill="FFFFFF"/>
        </w:rPr>
        <w:t> </w:t>
      </w:r>
    </w:p>
    <w:p w:rsidR="00E86802" w:rsidRPr="00542DA1" w:rsidRDefault="00E86802" w:rsidP="00E86802">
      <w:pPr>
        <w:spacing w:after="120" w:line="0" w:lineRule="atLeast"/>
        <w:jc w:val="both"/>
        <w:rPr>
          <w:rFonts w:cs="Arial"/>
          <w:shd w:val="clear" w:color="auto" w:fill="FFFFFF"/>
        </w:rPr>
      </w:pPr>
      <w:r w:rsidRPr="00542DA1">
        <w:rPr>
          <w:rStyle w:val="apple-converted-space"/>
          <w:rFonts w:cs="Arial"/>
          <w:shd w:val="clear" w:color="auto" w:fill="FFFFFF"/>
        </w:rPr>
        <w:t xml:space="preserve">Chissà se i nostri studenti sapranno “ricostruire” questo patrimonio cominciando proprio dalla dimora storica che si trova a 500 metri dalla loro scuola e imparando a raccontarla per </w:t>
      </w:r>
      <w:r w:rsidR="00516EBB" w:rsidRPr="00542DA1">
        <w:rPr>
          <w:rStyle w:val="apple-converted-space"/>
          <w:rFonts w:cs="Arial"/>
          <w:shd w:val="clear" w:color="auto" w:fill="FFFFFF"/>
        </w:rPr>
        <w:t>sé</w:t>
      </w:r>
      <w:r w:rsidRPr="00542DA1">
        <w:rPr>
          <w:rStyle w:val="apple-converted-space"/>
          <w:rFonts w:cs="Arial"/>
          <w:shd w:val="clear" w:color="auto" w:fill="FFFFFF"/>
        </w:rPr>
        <w:t xml:space="preserve"> e per i visitatori impareranno a racconta</w:t>
      </w:r>
      <w:r w:rsidR="00C72BBA">
        <w:rPr>
          <w:rStyle w:val="apple-converted-space"/>
          <w:rFonts w:cs="Arial"/>
          <w:shd w:val="clear" w:color="auto" w:fill="FFFFFF"/>
        </w:rPr>
        <w:t>re e rappresentare anche un po’</w:t>
      </w:r>
      <w:r w:rsidRPr="00542DA1">
        <w:rPr>
          <w:rStyle w:val="apple-converted-space"/>
          <w:rFonts w:cs="Arial"/>
          <w:shd w:val="clear" w:color="auto" w:fill="FFFFFF"/>
        </w:rPr>
        <w:t xml:space="preserve"> se stessi.</w:t>
      </w:r>
    </w:p>
    <w:sectPr w:rsidR="00E86802" w:rsidRPr="00542DA1" w:rsidSect="00C72BBA">
      <w:footerReference w:type="default" r:id="rId10"/>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3417" w:rsidRDefault="004D3417" w:rsidP="00ED31A0">
      <w:pPr>
        <w:spacing w:after="0" w:line="240" w:lineRule="auto"/>
      </w:pPr>
      <w:r>
        <w:separator/>
      </w:r>
    </w:p>
  </w:endnote>
  <w:endnote w:type="continuationSeparator" w:id="0">
    <w:p w:rsidR="004D3417" w:rsidRDefault="004D3417" w:rsidP="00ED3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44547"/>
      <w:docPartObj>
        <w:docPartGallery w:val="Page Numbers (Bottom of Page)"/>
        <w:docPartUnique/>
      </w:docPartObj>
    </w:sdtPr>
    <w:sdtEndPr/>
    <w:sdtContent>
      <w:p w:rsidR="00542203" w:rsidRDefault="004D3417">
        <w:pPr>
          <w:pStyle w:val="Pidipagina"/>
          <w:jc w:val="right"/>
        </w:pPr>
        <w:r>
          <w:fldChar w:fldCharType="begin"/>
        </w:r>
        <w:r>
          <w:instrText xml:space="preserve"> PAGE   \* MERGEFORMAT </w:instrText>
        </w:r>
        <w:r>
          <w:fldChar w:fldCharType="separate"/>
        </w:r>
        <w:r w:rsidR="00E726CD">
          <w:rPr>
            <w:noProof/>
          </w:rPr>
          <w:t>9</w:t>
        </w:r>
        <w:r>
          <w:rPr>
            <w:noProof/>
          </w:rPr>
          <w:fldChar w:fldCharType="end"/>
        </w:r>
      </w:p>
    </w:sdtContent>
  </w:sdt>
  <w:p w:rsidR="00542203" w:rsidRDefault="00542203">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3417" w:rsidRDefault="004D3417" w:rsidP="00ED31A0">
      <w:pPr>
        <w:spacing w:after="0" w:line="240" w:lineRule="auto"/>
      </w:pPr>
      <w:r>
        <w:separator/>
      </w:r>
    </w:p>
  </w:footnote>
  <w:footnote w:type="continuationSeparator" w:id="0">
    <w:p w:rsidR="004D3417" w:rsidRDefault="004D3417" w:rsidP="00ED31A0">
      <w:pPr>
        <w:spacing w:after="0" w:line="240" w:lineRule="auto"/>
      </w:pPr>
      <w:r>
        <w:continuationSeparator/>
      </w:r>
    </w:p>
  </w:footnote>
  <w:footnote w:id="1">
    <w:p w:rsidR="0019104C" w:rsidRDefault="0019104C" w:rsidP="008D4291">
      <w:pPr>
        <w:pStyle w:val="Testonotaapidipagina"/>
        <w:jc w:val="both"/>
      </w:pPr>
      <w:r>
        <w:rPr>
          <w:rStyle w:val="Rimandonotaapidipagina"/>
        </w:rPr>
        <w:footnoteRef/>
      </w:r>
      <w:r>
        <w:t xml:space="preserve"> A</w:t>
      </w:r>
      <w:r w:rsidRPr="00DE2BE6">
        <w:t xml:space="preserve"> cura del Prof. Luciano Monti, docente di Politiche dell’Unione Europea alla Luiss Guido Carli e coordinato</w:t>
      </w:r>
      <w:r>
        <w:t>re dell’Osservatorio Economico della Fondazione Bruno Visentini</w:t>
      </w:r>
      <w:r w:rsidRPr="00DE2BE6">
        <w:t>, e del Dott. Roberto Cer</w:t>
      </w:r>
      <w:r>
        <w:t>roni dell’Ufficio Ricerca FBV</w:t>
      </w:r>
    </w:p>
  </w:footnote>
  <w:footnote w:id="2">
    <w:p w:rsidR="0019104C" w:rsidRPr="00A56912" w:rsidRDefault="0019104C" w:rsidP="00A56912">
      <w:pPr>
        <w:pStyle w:val="Testonotaapidipagina"/>
        <w:jc w:val="both"/>
        <w:rPr>
          <w:rFonts w:ascii="Calibri" w:hAnsi="Calibri"/>
        </w:rPr>
      </w:pPr>
      <w:r w:rsidRPr="00A56912">
        <w:rPr>
          <w:rStyle w:val="Rimandonotaapidipagina"/>
          <w:rFonts w:ascii="Calibri" w:hAnsi="Calibri"/>
        </w:rPr>
        <w:footnoteRef/>
      </w:r>
      <w:r w:rsidRPr="00A56912">
        <w:rPr>
          <w:rFonts w:ascii="Calibri" w:hAnsi="Calibri"/>
        </w:rPr>
        <w:t xml:space="preserve"> </w:t>
      </w:r>
      <w:r w:rsidR="00FF3C74" w:rsidRPr="00A56912">
        <w:rPr>
          <w:rFonts w:ascii="Calibri" w:hAnsi="Calibri"/>
        </w:rPr>
        <w:t>M</w:t>
      </w:r>
      <w:r w:rsidR="003745BF">
        <w:rPr>
          <w:rFonts w:ascii="Calibri" w:hAnsi="Calibri"/>
        </w:rPr>
        <w:t>onti</w:t>
      </w:r>
      <w:r w:rsidR="008D4291" w:rsidRPr="00A56912">
        <w:rPr>
          <w:rFonts w:ascii="Calibri" w:hAnsi="Calibri"/>
        </w:rPr>
        <w:t xml:space="preserve"> L</w:t>
      </w:r>
      <w:r w:rsidR="00A56912">
        <w:rPr>
          <w:rFonts w:ascii="Calibri" w:hAnsi="Calibri"/>
        </w:rPr>
        <w:t>.</w:t>
      </w:r>
      <w:r w:rsidR="008D4291" w:rsidRPr="00A56912">
        <w:rPr>
          <w:rFonts w:ascii="Calibri" w:hAnsi="Calibri"/>
        </w:rPr>
        <w:t xml:space="preserve">, </w:t>
      </w:r>
      <w:r w:rsidR="008D4291" w:rsidRPr="00A56912">
        <w:rPr>
          <w:rFonts w:ascii="Calibri" w:hAnsi="Calibri"/>
          <w:i/>
        </w:rPr>
        <w:t>Il futuro dei giovani nella tutela del patrimonio storico privato</w:t>
      </w:r>
      <w:r w:rsidR="00F65365" w:rsidRPr="00A56912">
        <w:rPr>
          <w:rFonts w:ascii="Calibri" w:hAnsi="Calibri"/>
          <w:i/>
        </w:rPr>
        <w:t xml:space="preserve">, </w:t>
      </w:r>
      <w:r w:rsidR="00F65365" w:rsidRPr="00A56912">
        <w:rPr>
          <w:rFonts w:ascii="Calibri" w:hAnsi="Calibri"/>
        </w:rPr>
        <w:t>Fondazione Bruno Visentini</w:t>
      </w:r>
      <w:r w:rsidR="00A56912">
        <w:rPr>
          <w:rFonts w:ascii="Calibri" w:hAnsi="Calibri"/>
        </w:rPr>
        <w:t>, 2015</w:t>
      </w:r>
    </w:p>
  </w:footnote>
  <w:footnote w:id="3">
    <w:p w:rsidR="0019104C" w:rsidRPr="00A56912" w:rsidRDefault="0019104C" w:rsidP="00A56912">
      <w:pPr>
        <w:pStyle w:val="Testonotaapidipagina"/>
        <w:jc w:val="both"/>
        <w:rPr>
          <w:rFonts w:ascii="Calibri" w:hAnsi="Calibri"/>
        </w:rPr>
      </w:pPr>
      <w:r w:rsidRPr="00A56912">
        <w:rPr>
          <w:rStyle w:val="Rimandonotaapidipagina"/>
          <w:rFonts w:ascii="Calibri" w:hAnsi="Calibri"/>
        </w:rPr>
        <w:footnoteRef/>
      </w:r>
      <w:r w:rsidRPr="00A56912">
        <w:rPr>
          <w:rFonts w:ascii="Calibri" w:hAnsi="Calibri"/>
        </w:rPr>
        <w:t xml:space="preserve"> </w:t>
      </w:r>
      <w:r w:rsidR="008D4291" w:rsidRPr="00A56912">
        <w:rPr>
          <w:rFonts w:ascii="Calibri" w:eastAsiaTheme="minorHAnsi" w:hAnsi="Calibri"/>
          <w:bCs/>
        </w:rPr>
        <w:t>Convegno “L’alternanza scuola-lavoro alla luce delle linee guida del Governo e del PON Scuola”</w:t>
      </w:r>
      <w:r w:rsidR="008D4291" w:rsidRPr="00A56912">
        <w:rPr>
          <w:rFonts w:ascii="Calibri" w:hAnsi="Calibri"/>
          <w:bCs/>
        </w:rPr>
        <w:t>, organizzato dalla Fondazione Bruno Visentini</w:t>
      </w:r>
      <w:r w:rsidR="003745BF">
        <w:rPr>
          <w:rFonts w:ascii="Calibri" w:hAnsi="Calibri"/>
          <w:bCs/>
        </w:rPr>
        <w:t xml:space="preserve">, </w:t>
      </w:r>
      <w:r w:rsidR="008D4291" w:rsidRPr="00A56912">
        <w:rPr>
          <w:rFonts w:ascii="Calibri" w:eastAsiaTheme="minorHAnsi" w:hAnsi="Calibri"/>
          <w:bCs/>
        </w:rPr>
        <w:t>Roma, 24 novembre 2015</w:t>
      </w:r>
      <w:r w:rsidR="00F65365" w:rsidRPr="00A56912">
        <w:rPr>
          <w:rFonts w:ascii="Calibri" w:hAnsi="Calibri"/>
          <w:bCs/>
        </w:rPr>
        <w:t>.</w:t>
      </w:r>
      <w:r w:rsidR="00FF3C74" w:rsidRPr="00A56912">
        <w:rPr>
          <w:rFonts w:ascii="Calibri" w:hAnsi="Calibri"/>
          <w:bCs/>
        </w:rPr>
        <w:t xml:space="preserve"> Per le risultanze vedi </w:t>
      </w:r>
      <w:r w:rsidR="00FF3C74" w:rsidRPr="00A56912">
        <w:rPr>
          <w:rFonts w:ascii="Calibri" w:hAnsi="Calibri"/>
          <w:shd w:val="clear" w:color="auto" w:fill="FFFFFF"/>
        </w:rPr>
        <w:t>M</w:t>
      </w:r>
      <w:r w:rsidR="003745BF">
        <w:rPr>
          <w:rFonts w:ascii="Calibri" w:hAnsi="Calibri"/>
          <w:shd w:val="clear" w:color="auto" w:fill="FFFFFF"/>
        </w:rPr>
        <w:t>onti</w:t>
      </w:r>
      <w:r w:rsidR="00FF3C74" w:rsidRPr="00A56912">
        <w:rPr>
          <w:rFonts w:ascii="Calibri" w:hAnsi="Calibri"/>
          <w:shd w:val="clear" w:color="auto" w:fill="FFFFFF"/>
        </w:rPr>
        <w:t xml:space="preserve"> L. (2015), “Indagine sulla prevenzione del fenomeno NEET mediante l’alternanza scuola-lavoro: i primi spunti”, </w:t>
      </w:r>
      <w:r w:rsidR="00FF3C74" w:rsidRPr="003745BF">
        <w:rPr>
          <w:rFonts w:ascii="Calibri" w:hAnsi="Calibri"/>
          <w:i/>
          <w:shd w:val="clear" w:color="auto" w:fill="FFFFFF"/>
        </w:rPr>
        <w:t>Amministrazione in Cammino</w:t>
      </w:r>
      <w:r w:rsidR="00FF3C74" w:rsidRPr="00A56912">
        <w:rPr>
          <w:rFonts w:ascii="Calibri" w:hAnsi="Calibri"/>
          <w:shd w:val="clear" w:color="auto" w:fill="FFFFFF"/>
        </w:rPr>
        <w:t>, 26.11.15</w:t>
      </w:r>
    </w:p>
  </w:footnote>
  <w:footnote w:id="4">
    <w:p w:rsidR="0019104C" w:rsidRPr="00A56912" w:rsidRDefault="0019104C" w:rsidP="00A56912">
      <w:pPr>
        <w:pStyle w:val="Testonotaapidipagina"/>
        <w:jc w:val="both"/>
        <w:rPr>
          <w:rFonts w:ascii="Calibri" w:hAnsi="Calibri"/>
        </w:rPr>
      </w:pPr>
      <w:r w:rsidRPr="00A56912">
        <w:rPr>
          <w:rStyle w:val="Rimandonotaapidipagina"/>
          <w:rFonts w:ascii="Calibri" w:hAnsi="Calibri"/>
        </w:rPr>
        <w:footnoteRef/>
      </w:r>
      <w:r w:rsidR="003745BF">
        <w:rPr>
          <w:rFonts w:ascii="Calibri" w:hAnsi="Calibri"/>
        </w:rPr>
        <w:t xml:space="preserve"> Vedi dati I</w:t>
      </w:r>
      <w:r w:rsidRPr="00A56912">
        <w:rPr>
          <w:rFonts w:ascii="Calibri" w:hAnsi="Calibri"/>
        </w:rPr>
        <w:t>ndire 2015</w:t>
      </w:r>
    </w:p>
  </w:footnote>
  <w:footnote w:id="5">
    <w:p w:rsidR="0019104C" w:rsidRPr="00A56912" w:rsidRDefault="0019104C" w:rsidP="00A56912">
      <w:pPr>
        <w:spacing w:after="0" w:line="0" w:lineRule="atLeast"/>
        <w:jc w:val="both"/>
        <w:rPr>
          <w:rFonts w:ascii="Calibri" w:hAnsi="Calibri"/>
          <w:sz w:val="20"/>
          <w:szCs w:val="20"/>
        </w:rPr>
      </w:pPr>
      <w:r w:rsidRPr="00A56912">
        <w:rPr>
          <w:rStyle w:val="Rimandonotaapidipagina"/>
          <w:rFonts w:ascii="Calibri" w:hAnsi="Calibri"/>
          <w:sz w:val="20"/>
          <w:szCs w:val="20"/>
        </w:rPr>
        <w:footnoteRef/>
      </w:r>
      <w:r w:rsidRPr="00A56912">
        <w:rPr>
          <w:rFonts w:ascii="Calibri" w:hAnsi="Calibri"/>
          <w:sz w:val="20"/>
          <w:szCs w:val="20"/>
        </w:rPr>
        <w:t xml:space="preserve"> </w:t>
      </w:r>
      <w:r w:rsidR="009449F7" w:rsidRPr="00A56912">
        <w:rPr>
          <w:rFonts w:ascii="Calibri" w:hAnsi="Calibri"/>
          <w:sz w:val="20"/>
          <w:szCs w:val="20"/>
        </w:rPr>
        <w:t xml:space="preserve">Monti L., “Il patrimonio storico e artistico privato nel contesto dell’economia della cultura: una concreta opportunità di sviluppo”, Intervento alla </w:t>
      </w:r>
      <w:r w:rsidR="009449F7" w:rsidRPr="00A56912">
        <w:rPr>
          <w:rStyle w:val="A7"/>
          <w:rFonts w:ascii="Calibri" w:hAnsi="Calibri"/>
          <w:b w:val="0"/>
          <w:color w:val="auto"/>
          <w:sz w:val="20"/>
          <w:szCs w:val="20"/>
        </w:rPr>
        <w:t>XXXVIII Assemblea dei Soci A.D.S.I.</w:t>
      </w:r>
      <w:r w:rsidR="009449F7" w:rsidRPr="00A56912">
        <w:rPr>
          <w:rStyle w:val="A7"/>
          <w:rFonts w:ascii="Calibri" w:hAnsi="Calibri"/>
          <w:color w:val="auto"/>
          <w:sz w:val="20"/>
          <w:szCs w:val="20"/>
        </w:rPr>
        <w:t xml:space="preserve"> - </w:t>
      </w:r>
      <w:r w:rsidR="009449F7" w:rsidRPr="00A56912">
        <w:rPr>
          <w:rFonts w:ascii="Calibri" w:hAnsi="Calibri"/>
          <w:sz w:val="20"/>
          <w:szCs w:val="20"/>
        </w:rPr>
        <w:t xml:space="preserve">Associazione Dimore Storiche Italiane, incontro </w:t>
      </w:r>
      <w:r w:rsidR="009449F7" w:rsidRPr="00A56912">
        <w:rPr>
          <w:rFonts w:ascii="Calibri" w:hAnsi="Calibri"/>
          <w:i/>
          <w:sz w:val="20"/>
          <w:szCs w:val="20"/>
        </w:rPr>
        <w:t>Beni culturali: oneri o risorse? L’impatto economico del patrimonio storico-architettonico sull’economia del Paese</w:t>
      </w:r>
      <w:r w:rsidR="009449F7" w:rsidRPr="00A56912">
        <w:rPr>
          <w:rFonts w:ascii="Calibri" w:hAnsi="Calibri"/>
          <w:sz w:val="20"/>
          <w:szCs w:val="20"/>
        </w:rPr>
        <w:t>, 13 maggio 2015, Palazzo Colonna (Roma).</w:t>
      </w:r>
    </w:p>
  </w:footnote>
  <w:footnote w:id="6">
    <w:p w:rsidR="00E33DA2" w:rsidRPr="00A56912" w:rsidRDefault="00E33DA2" w:rsidP="00A56912">
      <w:pPr>
        <w:pStyle w:val="Testonotaapidipagina"/>
        <w:jc w:val="both"/>
        <w:rPr>
          <w:rFonts w:ascii="Calibri" w:hAnsi="Calibri"/>
        </w:rPr>
      </w:pPr>
      <w:r w:rsidRPr="00A56912">
        <w:rPr>
          <w:rStyle w:val="Rimandonotaapidipagina"/>
          <w:rFonts w:ascii="Calibri" w:hAnsi="Calibri"/>
        </w:rPr>
        <w:footnoteRef/>
      </w:r>
      <w:r w:rsidRPr="00A56912">
        <w:rPr>
          <w:rFonts w:ascii="Calibri" w:hAnsi="Calibri"/>
        </w:rPr>
        <w:t xml:space="preserve"> Fondazione Symbola – Unioncamere, </w:t>
      </w:r>
      <w:r w:rsidRPr="00A56912">
        <w:rPr>
          <w:rFonts w:ascii="Calibri" w:hAnsi="Calibri"/>
          <w:i/>
        </w:rPr>
        <w:t>Rapporto Io sono cultura – 2016</w:t>
      </w:r>
    </w:p>
  </w:footnote>
  <w:footnote w:id="7">
    <w:p w:rsidR="0019104C" w:rsidRPr="00A56912" w:rsidRDefault="0019104C" w:rsidP="00A56912">
      <w:pPr>
        <w:pStyle w:val="Testonotaapidipagina"/>
        <w:jc w:val="both"/>
        <w:rPr>
          <w:rFonts w:ascii="Calibri" w:hAnsi="Calibri"/>
        </w:rPr>
      </w:pPr>
      <w:r w:rsidRPr="00A56912">
        <w:rPr>
          <w:rStyle w:val="Rimandonotaapidipagina"/>
          <w:rFonts w:ascii="Calibri" w:hAnsi="Calibri"/>
        </w:rPr>
        <w:footnoteRef/>
      </w:r>
      <w:r w:rsidRPr="00A56912">
        <w:rPr>
          <w:rFonts w:ascii="Calibri" w:hAnsi="Calibri"/>
        </w:rPr>
        <w:t xml:space="preserve"> </w:t>
      </w:r>
      <w:r w:rsidR="008D4291" w:rsidRPr="00A56912">
        <w:rPr>
          <w:rFonts w:ascii="Calibri" w:hAnsi="Calibri"/>
        </w:rPr>
        <w:t>Monti L</w:t>
      </w:r>
      <w:r w:rsidR="00145D54" w:rsidRPr="00A56912">
        <w:rPr>
          <w:rFonts w:ascii="Calibri" w:hAnsi="Calibri"/>
        </w:rPr>
        <w:t>.</w:t>
      </w:r>
      <w:r w:rsidR="008D4291" w:rsidRPr="00A56912">
        <w:rPr>
          <w:rFonts w:ascii="Calibri" w:hAnsi="Calibri"/>
        </w:rPr>
        <w:t xml:space="preserve">, </w:t>
      </w:r>
      <w:r w:rsidR="008D4291" w:rsidRPr="00A56912">
        <w:rPr>
          <w:rFonts w:ascii="Calibri" w:hAnsi="Calibri"/>
          <w:i/>
        </w:rPr>
        <w:t xml:space="preserve">Il </w:t>
      </w:r>
      <w:r w:rsidR="00145D54" w:rsidRPr="00A56912">
        <w:rPr>
          <w:rFonts w:ascii="Calibri" w:hAnsi="Calibri"/>
          <w:i/>
        </w:rPr>
        <w:t xml:space="preserve">futuro dei giovani nella tutela </w:t>
      </w:r>
      <w:r w:rsidR="008D4291" w:rsidRPr="00A56912">
        <w:rPr>
          <w:rFonts w:ascii="Calibri" w:hAnsi="Calibri"/>
          <w:i/>
        </w:rPr>
        <w:t>del patrimonio storico privato</w:t>
      </w:r>
      <w:r w:rsidR="00F65365" w:rsidRPr="00A56912">
        <w:rPr>
          <w:rFonts w:ascii="Calibri" w:hAnsi="Calibri"/>
          <w:i/>
        </w:rPr>
        <w:t xml:space="preserve">, </w:t>
      </w:r>
      <w:r w:rsidR="00F65365" w:rsidRPr="00A56912">
        <w:rPr>
          <w:rFonts w:ascii="Calibri" w:hAnsi="Calibri"/>
        </w:rPr>
        <w:t>Fondazione Bruno Visentini</w:t>
      </w:r>
      <w:r w:rsidR="00145D54" w:rsidRPr="00A56912">
        <w:rPr>
          <w:rFonts w:ascii="Calibri" w:hAnsi="Calibri"/>
        </w:rPr>
        <w:t>, 2015</w:t>
      </w:r>
    </w:p>
  </w:footnote>
  <w:footnote w:id="8">
    <w:p w:rsidR="000B7E50" w:rsidRDefault="000B7E50" w:rsidP="000B7E50">
      <w:pPr>
        <w:pStyle w:val="Testonotaapidipagina"/>
        <w:jc w:val="both"/>
      </w:pPr>
      <w:r>
        <w:rPr>
          <w:rStyle w:val="Rimandonotaapidipagina"/>
        </w:rPr>
        <w:footnoteRef/>
      </w:r>
      <w:r>
        <w:t xml:space="preserve"> Si tratta naturalmente di una simulazio</w:t>
      </w:r>
      <w:r w:rsidR="00F65365">
        <w:t>ne. All’identificazione delle 98</w:t>
      </w:r>
      <w:r>
        <w:t xml:space="preserve"> dimore storiche con attività di impresa in Toscana non ha sino ad ora fatto seguito una verifica della loro effettiva disponibilità a svolgere il ruolo di struttura </w:t>
      </w:r>
      <w:r w:rsidR="00516EBB">
        <w:t>ospitante.</w:t>
      </w:r>
      <w:r>
        <w:t xml:space="preserve"> Per contro non è da escludere vi siano altre dimore storiche o associazioni ruotanti attorno a dimore storiche che stanno svolgendo o pianificano di svolgere attività di impresa.</w:t>
      </w:r>
    </w:p>
  </w:footnote>
  <w:footnote w:id="9">
    <w:p w:rsidR="005418C2" w:rsidRDefault="005418C2">
      <w:pPr>
        <w:pStyle w:val="Testonotaapidipagina"/>
      </w:pPr>
      <w:r w:rsidRPr="003745BF">
        <w:rPr>
          <w:rStyle w:val="Rimandonotaapidipagina"/>
        </w:rPr>
        <w:footnoteRef/>
      </w:r>
      <w:r w:rsidRPr="003745BF">
        <w:t xml:space="preserve"> </w:t>
      </w:r>
      <w:r w:rsidR="00070099" w:rsidRPr="003745BF">
        <w:t xml:space="preserve">Deloitte, </w:t>
      </w:r>
      <w:r w:rsidR="00070099" w:rsidRPr="003745BF">
        <w:rPr>
          <w:i/>
        </w:rPr>
        <w:t>Associazion</w:t>
      </w:r>
      <w:r w:rsidR="003745BF" w:rsidRPr="003745BF">
        <w:rPr>
          <w:i/>
        </w:rPr>
        <w:t>e</w:t>
      </w:r>
      <w:r w:rsidR="00070099" w:rsidRPr="003745BF">
        <w:rPr>
          <w:i/>
        </w:rPr>
        <w:t xml:space="preserve"> Dimore Storiche </w:t>
      </w:r>
      <w:r w:rsidR="00516EBB" w:rsidRPr="003745BF">
        <w:rPr>
          <w:i/>
        </w:rPr>
        <w:t>Italiane -</w:t>
      </w:r>
      <w:r w:rsidR="00070099" w:rsidRPr="003745BF">
        <w:rPr>
          <w:i/>
        </w:rPr>
        <w:t xml:space="preserve"> Sezione Toscana</w:t>
      </w:r>
      <w:r w:rsidR="00070099" w:rsidRPr="003745BF">
        <w:t>, Gennaio 2016</w:t>
      </w:r>
    </w:p>
  </w:footnote>
  <w:footnote w:id="10">
    <w:p w:rsidR="005418C2" w:rsidRDefault="005418C2">
      <w:pPr>
        <w:pStyle w:val="Testonotaapidipagina"/>
      </w:pPr>
      <w:r>
        <w:rPr>
          <w:rStyle w:val="Rimandonotaapidipagina"/>
        </w:rPr>
        <w:footnoteRef/>
      </w:r>
      <w:r>
        <w:t xml:space="preserve"> Fondazione Symbola – Unioncamere, </w:t>
      </w:r>
      <w:r w:rsidRPr="005418C2">
        <w:rPr>
          <w:i/>
        </w:rPr>
        <w:t>Rapporto Io sono cultura</w:t>
      </w:r>
      <w:r w:rsidR="0085687E">
        <w:rPr>
          <w:i/>
        </w:rPr>
        <w:t>, cit</w:t>
      </w:r>
      <w:r w:rsidR="00EA6217">
        <w:t>.</w:t>
      </w:r>
    </w:p>
  </w:footnote>
  <w:footnote w:id="11">
    <w:p w:rsidR="0085687E" w:rsidRPr="00625ED0" w:rsidRDefault="0085687E" w:rsidP="00625ED0">
      <w:pPr>
        <w:pStyle w:val="Testonotaapidipagina"/>
        <w:jc w:val="both"/>
      </w:pPr>
      <w:r>
        <w:rPr>
          <w:rStyle w:val="Rimandonotaapidipagina"/>
        </w:rPr>
        <w:footnoteRef/>
      </w:r>
      <w:r>
        <w:t xml:space="preserve"> </w:t>
      </w:r>
      <w:r w:rsidRPr="00625ED0">
        <w:t>Sul valore collettivo e comunitar</w:t>
      </w:r>
      <w:r w:rsidR="00625ED0">
        <w:t>io</w:t>
      </w:r>
      <w:r w:rsidRPr="00625ED0">
        <w:t xml:space="preserve"> della cultura vedi </w:t>
      </w:r>
      <w:r w:rsidRPr="00625ED0">
        <w:rPr>
          <w:shd w:val="clear" w:color="auto" w:fill="FFFFFF"/>
        </w:rPr>
        <w:t>M</w:t>
      </w:r>
      <w:r w:rsidR="00542DA1">
        <w:rPr>
          <w:shd w:val="clear" w:color="auto" w:fill="FFFFFF"/>
        </w:rPr>
        <w:t>onti</w:t>
      </w:r>
      <w:r w:rsidRPr="00625ED0">
        <w:rPr>
          <w:shd w:val="clear" w:color="auto" w:fill="FFFFFF"/>
        </w:rPr>
        <w:t xml:space="preserve"> L., F</w:t>
      </w:r>
      <w:r w:rsidR="00542DA1">
        <w:rPr>
          <w:shd w:val="clear" w:color="auto" w:fill="FFFFFF"/>
        </w:rPr>
        <w:t>eola</w:t>
      </w:r>
      <w:r w:rsidRPr="00625ED0">
        <w:rPr>
          <w:shd w:val="clear" w:color="auto" w:fill="FFFFFF"/>
        </w:rPr>
        <w:t xml:space="preserve"> A.</w:t>
      </w:r>
      <w:r w:rsidR="00542DA1">
        <w:rPr>
          <w:shd w:val="clear" w:color="auto" w:fill="FFFFFF"/>
        </w:rPr>
        <w:t xml:space="preserve">, </w:t>
      </w:r>
      <w:r w:rsidRPr="00625ED0">
        <w:rPr>
          <w:shd w:val="clear" w:color="auto" w:fill="FFFFFF"/>
        </w:rPr>
        <w:t>“Could the cultural domain be a new form for fostering EU external relations and European values?”, in S</w:t>
      </w:r>
      <w:r w:rsidR="00542DA1">
        <w:rPr>
          <w:shd w:val="clear" w:color="auto" w:fill="FFFFFF"/>
        </w:rPr>
        <w:t xml:space="preserve">ciso </w:t>
      </w:r>
      <w:r w:rsidRPr="00625ED0">
        <w:rPr>
          <w:shd w:val="clear" w:color="auto" w:fill="FFFFFF"/>
        </w:rPr>
        <w:t>E., B</w:t>
      </w:r>
      <w:r w:rsidR="00542DA1">
        <w:rPr>
          <w:shd w:val="clear" w:color="auto" w:fill="FFFFFF"/>
        </w:rPr>
        <w:t xml:space="preserve">aratta </w:t>
      </w:r>
      <w:r w:rsidRPr="00625ED0">
        <w:rPr>
          <w:shd w:val="clear" w:color="auto" w:fill="FFFFFF"/>
        </w:rPr>
        <w:t>R., M</w:t>
      </w:r>
      <w:r w:rsidR="00542DA1">
        <w:rPr>
          <w:shd w:val="clear" w:color="auto" w:fill="FFFFFF"/>
        </w:rPr>
        <w:t xml:space="preserve">orviducci </w:t>
      </w:r>
      <w:r w:rsidRPr="00625ED0">
        <w:rPr>
          <w:shd w:val="clear" w:color="auto" w:fill="FFFFFF"/>
        </w:rPr>
        <w:t>C. (a cura di),</w:t>
      </w:r>
      <w:r w:rsidRPr="00625ED0">
        <w:rPr>
          <w:rStyle w:val="apple-converted-space"/>
          <w:shd w:val="clear" w:color="auto" w:fill="FFFFFF"/>
        </w:rPr>
        <w:t> </w:t>
      </w:r>
      <w:r w:rsidRPr="00625ED0">
        <w:rPr>
          <w:rStyle w:val="Enfasicorsivo"/>
          <w:bdr w:val="none" w:sz="0" w:space="0" w:color="auto" w:frame="1"/>
          <w:shd w:val="clear" w:color="auto" w:fill="FFFFFF"/>
        </w:rPr>
        <w:t>I valori dell’Unione Europea e l’azione esterna</w:t>
      </w:r>
      <w:r w:rsidRPr="00625ED0">
        <w:rPr>
          <w:shd w:val="clear" w:color="auto" w:fill="FFFFFF"/>
        </w:rPr>
        <w:t>, G. Giappichelli Editore</w:t>
      </w:r>
      <w:r w:rsidR="00542DA1">
        <w:rPr>
          <w:shd w:val="clear" w:color="auto" w:fill="FFFFFF"/>
        </w:rPr>
        <w:t>, Torino 2016.</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27990"/>
    <w:multiLevelType w:val="hybridMultilevel"/>
    <w:tmpl w:val="A99A16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ADC0169"/>
    <w:multiLevelType w:val="hybridMultilevel"/>
    <w:tmpl w:val="7702ECB8"/>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2" w15:restartNumberingAfterBreak="0">
    <w:nsid w:val="378057C6"/>
    <w:multiLevelType w:val="hybridMultilevel"/>
    <w:tmpl w:val="18167B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74C7FFD"/>
    <w:multiLevelType w:val="hybridMultilevel"/>
    <w:tmpl w:val="039CE9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A531911"/>
    <w:multiLevelType w:val="hybridMultilevel"/>
    <w:tmpl w:val="A198CF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89F11AE"/>
    <w:multiLevelType w:val="hybridMultilevel"/>
    <w:tmpl w:val="D7F0BE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B301806"/>
    <w:multiLevelType w:val="hybridMultilevel"/>
    <w:tmpl w:val="93AC92DC"/>
    <w:lvl w:ilvl="0" w:tplc="0410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6D9A0096"/>
    <w:multiLevelType w:val="hybridMultilevel"/>
    <w:tmpl w:val="81528C90"/>
    <w:lvl w:ilvl="0" w:tplc="334C3AD6">
      <w:start w:val="3"/>
      <w:numFmt w:val="bullet"/>
      <w:lvlText w:val="-"/>
      <w:lvlJc w:val="left"/>
      <w:pPr>
        <w:ind w:left="720" w:hanging="360"/>
      </w:pPr>
      <w:rPr>
        <w:rFonts w:ascii="Calibri" w:eastAsiaTheme="minorHAnsi" w:hAnsi="Calibri" w:cstheme="minorBidi"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4"/>
  </w:num>
  <w:num w:numId="5">
    <w:abstractNumId w:val="2"/>
  </w:num>
  <w:num w:numId="6">
    <w:abstractNumId w:val="3"/>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60672"/>
    <w:rsid w:val="000554AF"/>
    <w:rsid w:val="00070099"/>
    <w:rsid w:val="0007688D"/>
    <w:rsid w:val="00083343"/>
    <w:rsid w:val="000907DB"/>
    <w:rsid w:val="00094528"/>
    <w:rsid w:val="000B7E50"/>
    <w:rsid w:val="000D7FEC"/>
    <w:rsid w:val="000F64F6"/>
    <w:rsid w:val="00107721"/>
    <w:rsid w:val="001234FA"/>
    <w:rsid w:val="00144532"/>
    <w:rsid w:val="00145D54"/>
    <w:rsid w:val="0015723E"/>
    <w:rsid w:val="0019104C"/>
    <w:rsid w:val="001C3A84"/>
    <w:rsid w:val="001F12E9"/>
    <w:rsid w:val="00225809"/>
    <w:rsid w:val="002346C1"/>
    <w:rsid w:val="00240464"/>
    <w:rsid w:val="002524FF"/>
    <w:rsid w:val="002A14D2"/>
    <w:rsid w:val="002D0B67"/>
    <w:rsid w:val="002E273A"/>
    <w:rsid w:val="00303FAB"/>
    <w:rsid w:val="00304BAB"/>
    <w:rsid w:val="00312A8F"/>
    <w:rsid w:val="00330840"/>
    <w:rsid w:val="0037420A"/>
    <w:rsid w:val="003745BF"/>
    <w:rsid w:val="003844A3"/>
    <w:rsid w:val="00394C09"/>
    <w:rsid w:val="003C3385"/>
    <w:rsid w:val="00460672"/>
    <w:rsid w:val="004750CD"/>
    <w:rsid w:val="00486AB7"/>
    <w:rsid w:val="004D3417"/>
    <w:rsid w:val="00505F06"/>
    <w:rsid w:val="00516EBB"/>
    <w:rsid w:val="005418C2"/>
    <w:rsid w:val="00542203"/>
    <w:rsid w:val="00542DA1"/>
    <w:rsid w:val="00550B8D"/>
    <w:rsid w:val="00575E7F"/>
    <w:rsid w:val="00580895"/>
    <w:rsid w:val="00595B08"/>
    <w:rsid w:val="005B2611"/>
    <w:rsid w:val="005C3EB0"/>
    <w:rsid w:val="005E5A34"/>
    <w:rsid w:val="00602478"/>
    <w:rsid w:val="00616294"/>
    <w:rsid w:val="00625ED0"/>
    <w:rsid w:val="00636668"/>
    <w:rsid w:val="006D0B50"/>
    <w:rsid w:val="006D7436"/>
    <w:rsid w:val="006F1168"/>
    <w:rsid w:val="00780B81"/>
    <w:rsid w:val="007870DF"/>
    <w:rsid w:val="00791FED"/>
    <w:rsid w:val="00792253"/>
    <w:rsid w:val="007B64AF"/>
    <w:rsid w:val="007D3D71"/>
    <w:rsid w:val="00814589"/>
    <w:rsid w:val="008248D9"/>
    <w:rsid w:val="00830CDD"/>
    <w:rsid w:val="00831A92"/>
    <w:rsid w:val="00832BE3"/>
    <w:rsid w:val="00850DCB"/>
    <w:rsid w:val="0085687E"/>
    <w:rsid w:val="008765A2"/>
    <w:rsid w:val="008D4291"/>
    <w:rsid w:val="008F3A8F"/>
    <w:rsid w:val="00931CAC"/>
    <w:rsid w:val="00937C9C"/>
    <w:rsid w:val="009422FC"/>
    <w:rsid w:val="009449F7"/>
    <w:rsid w:val="009515D9"/>
    <w:rsid w:val="00956019"/>
    <w:rsid w:val="00964819"/>
    <w:rsid w:val="00975F43"/>
    <w:rsid w:val="009B4F0C"/>
    <w:rsid w:val="009C0759"/>
    <w:rsid w:val="00A17913"/>
    <w:rsid w:val="00A40AA5"/>
    <w:rsid w:val="00A56912"/>
    <w:rsid w:val="00A70940"/>
    <w:rsid w:val="00AB6EE0"/>
    <w:rsid w:val="00B10629"/>
    <w:rsid w:val="00B23548"/>
    <w:rsid w:val="00B25CD1"/>
    <w:rsid w:val="00B44371"/>
    <w:rsid w:val="00B50083"/>
    <w:rsid w:val="00B74F4F"/>
    <w:rsid w:val="00BA4B16"/>
    <w:rsid w:val="00BE7A8B"/>
    <w:rsid w:val="00C72BBA"/>
    <w:rsid w:val="00C85093"/>
    <w:rsid w:val="00CA1B5B"/>
    <w:rsid w:val="00CC5AC2"/>
    <w:rsid w:val="00CD1DF7"/>
    <w:rsid w:val="00CD2982"/>
    <w:rsid w:val="00CF5550"/>
    <w:rsid w:val="00D605E4"/>
    <w:rsid w:val="00D7579A"/>
    <w:rsid w:val="00D979D8"/>
    <w:rsid w:val="00DE1E07"/>
    <w:rsid w:val="00E33DA2"/>
    <w:rsid w:val="00E4063E"/>
    <w:rsid w:val="00E45252"/>
    <w:rsid w:val="00E726CD"/>
    <w:rsid w:val="00E86802"/>
    <w:rsid w:val="00EA6217"/>
    <w:rsid w:val="00ED31A0"/>
    <w:rsid w:val="00EE5918"/>
    <w:rsid w:val="00EE7B46"/>
    <w:rsid w:val="00F24556"/>
    <w:rsid w:val="00F3509B"/>
    <w:rsid w:val="00F504E3"/>
    <w:rsid w:val="00F554ED"/>
    <w:rsid w:val="00F63E3B"/>
    <w:rsid w:val="00F65365"/>
    <w:rsid w:val="00F851D9"/>
    <w:rsid w:val="00FA2926"/>
    <w:rsid w:val="00FD37E3"/>
    <w:rsid w:val="00FE355D"/>
    <w:rsid w:val="00FF3C74"/>
    <w:rsid w:val="00FF71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274E4"/>
  <w15:docId w15:val="{BF7AF0E6-0D70-447B-9BE8-05602EE19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5723E"/>
  </w:style>
  <w:style w:type="paragraph" w:styleId="Titolo1">
    <w:name w:val="heading 1"/>
    <w:basedOn w:val="Normale"/>
    <w:next w:val="Normale"/>
    <w:link w:val="Titolo1Carattere"/>
    <w:uiPriority w:val="9"/>
    <w:qFormat/>
    <w:rsid w:val="008D42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40464"/>
    <w:pPr>
      <w:ind w:left="720"/>
      <w:contextualSpacing/>
    </w:pPr>
  </w:style>
  <w:style w:type="character" w:styleId="Collegamentoipertestuale">
    <w:name w:val="Hyperlink"/>
    <w:basedOn w:val="Carpredefinitoparagrafo"/>
    <w:uiPriority w:val="99"/>
    <w:unhideWhenUsed/>
    <w:rsid w:val="00F24556"/>
    <w:rPr>
      <w:color w:val="0000FF" w:themeColor="hyperlink"/>
      <w:u w:val="single"/>
    </w:rPr>
  </w:style>
  <w:style w:type="paragraph" w:styleId="Intestazione">
    <w:name w:val="header"/>
    <w:basedOn w:val="Normale"/>
    <w:link w:val="IntestazioneCarattere"/>
    <w:uiPriority w:val="99"/>
    <w:unhideWhenUsed/>
    <w:rsid w:val="00ED31A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D31A0"/>
  </w:style>
  <w:style w:type="paragraph" w:styleId="Pidipagina">
    <w:name w:val="footer"/>
    <w:basedOn w:val="Normale"/>
    <w:link w:val="PidipaginaCarattere"/>
    <w:uiPriority w:val="99"/>
    <w:unhideWhenUsed/>
    <w:rsid w:val="00ED31A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D31A0"/>
  </w:style>
  <w:style w:type="paragraph" w:styleId="Testonotaapidipagina">
    <w:name w:val="footnote text"/>
    <w:basedOn w:val="Normale"/>
    <w:link w:val="TestonotaapidipaginaCarattere"/>
    <w:uiPriority w:val="99"/>
    <w:unhideWhenUsed/>
    <w:rsid w:val="00A40AA5"/>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A40AA5"/>
    <w:rPr>
      <w:sz w:val="20"/>
      <w:szCs w:val="20"/>
    </w:rPr>
  </w:style>
  <w:style w:type="character" w:styleId="Rimandonotaapidipagina">
    <w:name w:val="footnote reference"/>
    <w:basedOn w:val="Carpredefinitoparagrafo"/>
    <w:uiPriority w:val="99"/>
    <w:semiHidden/>
    <w:unhideWhenUsed/>
    <w:rsid w:val="00A40AA5"/>
    <w:rPr>
      <w:vertAlign w:val="superscript"/>
    </w:rPr>
  </w:style>
  <w:style w:type="table" w:styleId="Grigliatabella">
    <w:name w:val="Table Grid"/>
    <w:basedOn w:val="Tabellanormale"/>
    <w:uiPriority w:val="59"/>
    <w:rsid w:val="00DE1E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F851D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851D9"/>
    <w:rPr>
      <w:rFonts w:ascii="Tahoma" w:hAnsi="Tahoma" w:cs="Tahoma"/>
      <w:sz w:val="16"/>
      <w:szCs w:val="16"/>
    </w:rPr>
  </w:style>
  <w:style w:type="character" w:customStyle="1" w:styleId="apple-converted-space">
    <w:name w:val="apple-converted-space"/>
    <w:basedOn w:val="Carpredefinitoparagrafo"/>
    <w:rsid w:val="0007688D"/>
  </w:style>
  <w:style w:type="character" w:customStyle="1" w:styleId="Titolo1Carattere">
    <w:name w:val="Titolo 1 Carattere"/>
    <w:basedOn w:val="Carpredefinitoparagrafo"/>
    <w:link w:val="Titolo1"/>
    <w:uiPriority w:val="9"/>
    <w:rsid w:val="008D4291"/>
    <w:rPr>
      <w:rFonts w:asciiTheme="majorHAnsi" w:eastAsiaTheme="majorEastAsia" w:hAnsiTheme="majorHAnsi" w:cstheme="majorBidi"/>
      <w:b/>
      <w:bCs/>
      <w:color w:val="365F91" w:themeColor="accent1" w:themeShade="BF"/>
      <w:sz w:val="28"/>
      <w:szCs w:val="28"/>
    </w:rPr>
  </w:style>
  <w:style w:type="character" w:styleId="Enfasicorsivo">
    <w:name w:val="Emphasis"/>
    <w:basedOn w:val="Carpredefinitoparagrafo"/>
    <w:uiPriority w:val="20"/>
    <w:qFormat/>
    <w:rsid w:val="0085687E"/>
    <w:rPr>
      <w:i/>
      <w:iCs/>
    </w:rPr>
  </w:style>
  <w:style w:type="character" w:customStyle="1" w:styleId="A7">
    <w:name w:val="A7"/>
    <w:uiPriority w:val="99"/>
    <w:rsid w:val="009449F7"/>
    <w:rPr>
      <w:rFonts w:cs="Times"/>
      <w:b/>
      <w:b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905665">
      <w:bodyDiv w:val="1"/>
      <w:marLeft w:val="0"/>
      <w:marRight w:val="0"/>
      <w:marTop w:val="0"/>
      <w:marBottom w:val="0"/>
      <w:divBdr>
        <w:top w:val="none" w:sz="0" w:space="0" w:color="auto"/>
        <w:left w:val="none" w:sz="0" w:space="0" w:color="auto"/>
        <w:bottom w:val="none" w:sz="0" w:space="0" w:color="auto"/>
        <w:right w:val="none" w:sz="0" w:space="0" w:color="auto"/>
      </w:divBdr>
    </w:div>
    <w:div w:id="1458527951">
      <w:bodyDiv w:val="1"/>
      <w:marLeft w:val="0"/>
      <w:marRight w:val="0"/>
      <w:marTop w:val="0"/>
      <w:marBottom w:val="0"/>
      <w:divBdr>
        <w:top w:val="none" w:sz="0" w:space="0" w:color="auto"/>
        <w:left w:val="none" w:sz="0" w:space="0" w:color="auto"/>
        <w:bottom w:val="none" w:sz="0" w:space="0" w:color="auto"/>
        <w:right w:val="none" w:sz="0" w:space="0" w:color="auto"/>
      </w:divBdr>
    </w:div>
    <w:div w:id="2085906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Cartel1"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00B050"/>
            </a:solidFill>
            <a:ln>
              <a:noFill/>
            </a:ln>
            <a:effectLst/>
          </c:spPr>
          <c:invertIfNegative val="0"/>
          <c:dPt>
            <c:idx val="1"/>
            <c:invertIfNegative val="0"/>
            <c:bubble3D val="0"/>
            <c:spPr>
              <a:solidFill>
                <a:schemeClr val="tx1"/>
              </a:solidFill>
              <a:ln>
                <a:noFill/>
              </a:ln>
              <a:effectLst/>
            </c:spPr>
            <c:extLst>
              <c:ext xmlns:c16="http://schemas.microsoft.com/office/drawing/2014/chart" uri="{C3380CC4-5D6E-409C-BE32-E72D297353CC}">
                <c16:uniqueId val="{00000000-E35C-42B0-A273-81E2C59DFE95}"/>
              </c:ext>
            </c:extLst>
          </c:dPt>
          <c:dPt>
            <c:idx val="4"/>
            <c:invertIfNegative val="0"/>
            <c:bubble3D val="0"/>
            <c:spPr>
              <a:solidFill>
                <a:schemeClr val="tx1"/>
              </a:solidFill>
              <a:ln>
                <a:noFill/>
              </a:ln>
              <a:effectLst/>
            </c:spPr>
            <c:extLst>
              <c:ext xmlns:c16="http://schemas.microsoft.com/office/drawing/2014/chart" uri="{C3380CC4-5D6E-409C-BE32-E72D297353CC}">
                <c16:uniqueId val="{00000001-E35C-42B0-A273-81E2C59DFE95}"/>
              </c:ext>
            </c:extLst>
          </c:dPt>
          <c:dPt>
            <c:idx val="9"/>
            <c:invertIfNegative val="0"/>
            <c:bubble3D val="0"/>
            <c:spPr>
              <a:solidFill>
                <a:schemeClr val="tx1"/>
              </a:solidFill>
              <a:ln>
                <a:noFill/>
              </a:ln>
              <a:effectLst/>
            </c:spPr>
            <c:extLst>
              <c:ext xmlns:c16="http://schemas.microsoft.com/office/drawing/2014/chart" uri="{C3380CC4-5D6E-409C-BE32-E72D297353CC}">
                <c16:uniqueId val="{00000002-E35C-42B0-A273-81E2C59DFE95}"/>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Foglio1!$B$3:$B$12</c:f>
              <c:strCache>
                <c:ptCount val="10"/>
                <c:pt idx="0">
                  <c:v>Arezzo </c:v>
                </c:pt>
                <c:pt idx="1">
                  <c:v>Firenze </c:v>
                </c:pt>
                <c:pt idx="2">
                  <c:v>Grosseto </c:v>
                </c:pt>
                <c:pt idx="3">
                  <c:v>Livorno </c:v>
                </c:pt>
                <c:pt idx="4">
                  <c:v>Lucca </c:v>
                </c:pt>
                <c:pt idx="5">
                  <c:v>Massa-Carrara</c:v>
                </c:pt>
                <c:pt idx="6">
                  <c:v>Pisa </c:v>
                </c:pt>
                <c:pt idx="7">
                  <c:v>Pistoia</c:v>
                </c:pt>
                <c:pt idx="8">
                  <c:v>Prato</c:v>
                </c:pt>
                <c:pt idx="9">
                  <c:v>Siena </c:v>
                </c:pt>
              </c:strCache>
            </c:strRef>
          </c:cat>
          <c:val>
            <c:numRef>
              <c:f>Foglio1!$C$3:$C$12</c:f>
              <c:numCache>
                <c:formatCode>General</c:formatCode>
                <c:ptCount val="10"/>
                <c:pt idx="0">
                  <c:v>7</c:v>
                </c:pt>
                <c:pt idx="1">
                  <c:v>32</c:v>
                </c:pt>
                <c:pt idx="2">
                  <c:v>1</c:v>
                </c:pt>
                <c:pt idx="3">
                  <c:v>3</c:v>
                </c:pt>
                <c:pt idx="4">
                  <c:v>13</c:v>
                </c:pt>
                <c:pt idx="5">
                  <c:v>5</c:v>
                </c:pt>
                <c:pt idx="6">
                  <c:v>6</c:v>
                </c:pt>
                <c:pt idx="7">
                  <c:v>5</c:v>
                </c:pt>
                <c:pt idx="8">
                  <c:v>0</c:v>
                </c:pt>
                <c:pt idx="9">
                  <c:v>26</c:v>
                </c:pt>
              </c:numCache>
            </c:numRef>
          </c:val>
          <c:extLst>
            <c:ext xmlns:c16="http://schemas.microsoft.com/office/drawing/2014/chart" uri="{C3380CC4-5D6E-409C-BE32-E72D297353CC}">
              <c16:uniqueId val="{00000003-E35C-42B0-A273-81E2C59DFE95}"/>
            </c:ext>
          </c:extLst>
        </c:ser>
        <c:dLbls>
          <c:showLegendKey val="0"/>
          <c:showVal val="0"/>
          <c:showCatName val="0"/>
          <c:showSerName val="0"/>
          <c:showPercent val="0"/>
          <c:showBubbleSize val="0"/>
        </c:dLbls>
        <c:gapWidth val="219"/>
        <c:overlap val="-27"/>
        <c:axId val="79847808"/>
        <c:axId val="81707008"/>
      </c:barChart>
      <c:catAx>
        <c:axId val="798478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81707008"/>
        <c:crosses val="autoZero"/>
        <c:auto val="1"/>
        <c:lblAlgn val="ctr"/>
        <c:lblOffset val="100"/>
        <c:noMultiLvlLbl val="0"/>
      </c:catAx>
      <c:valAx>
        <c:axId val="817070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798478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Pt>
            <c:idx val="0"/>
            <c:invertIfNegative val="0"/>
            <c:bubble3D val="0"/>
            <c:spPr>
              <a:solidFill>
                <a:schemeClr val="tx1"/>
              </a:solidFill>
              <a:ln>
                <a:noFill/>
              </a:ln>
              <a:effectLst/>
            </c:spPr>
            <c:extLst>
              <c:ext xmlns:c16="http://schemas.microsoft.com/office/drawing/2014/chart" uri="{C3380CC4-5D6E-409C-BE32-E72D297353CC}">
                <c16:uniqueId val="{00000000-AEB1-4A8B-8241-189DE9DE5D6F}"/>
              </c:ext>
            </c:extLst>
          </c:dPt>
          <c:dPt>
            <c:idx val="1"/>
            <c:invertIfNegative val="0"/>
            <c:bubble3D val="0"/>
            <c:spPr>
              <a:solidFill>
                <a:schemeClr val="tx1"/>
              </a:solidFill>
              <a:ln>
                <a:noFill/>
              </a:ln>
              <a:effectLst/>
            </c:spPr>
            <c:extLst>
              <c:ext xmlns:c16="http://schemas.microsoft.com/office/drawing/2014/chart" uri="{C3380CC4-5D6E-409C-BE32-E72D297353CC}">
                <c16:uniqueId val="{00000001-AEB1-4A8B-8241-189DE9DE5D6F}"/>
              </c:ext>
            </c:extLst>
          </c:dPt>
          <c:dPt>
            <c:idx val="2"/>
            <c:invertIfNegative val="0"/>
            <c:bubble3D val="0"/>
            <c:spPr>
              <a:solidFill>
                <a:schemeClr val="tx1"/>
              </a:solidFill>
              <a:ln>
                <a:noFill/>
              </a:ln>
              <a:effectLst/>
            </c:spPr>
            <c:extLst>
              <c:ext xmlns:c16="http://schemas.microsoft.com/office/drawing/2014/chart" uri="{C3380CC4-5D6E-409C-BE32-E72D297353CC}">
                <c16:uniqueId val="{00000002-AEB1-4A8B-8241-189DE9DE5D6F}"/>
              </c:ext>
            </c:extLst>
          </c:dPt>
          <c:cat>
            <c:strRef>
              <c:f>Foglio1!$G$3:$G$9</c:f>
              <c:strCache>
                <c:ptCount val="7"/>
                <c:pt idx="0">
                  <c:v>Storytelling</c:v>
                </c:pt>
                <c:pt idx="1">
                  <c:v>Turismo eco-sostenibile</c:v>
                </c:pt>
                <c:pt idx="2">
                  <c:v>Turismo esperenziale </c:v>
                </c:pt>
                <c:pt idx="3">
                  <c:v>Organizzazione eventi</c:v>
                </c:pt>
                <c:pt idx="4">
                  <c:v>Hospitality </c:v>
                </c:pt>
                <c:pt idx="5">
                  <c:v>Artigianato</c:v>
                </c:pt>
                <c:pt idx="6">
                  <c:v>Ristorazione </c:v>
                </c:pt>
              </c:strCache>
            </c:strRef>
          </c:cat>
          <c:val>
            <c:numRef>
              <c:f>Foglio1!$H$3:$H$9</c:f>
              <c:numCache>
                <c:formatCode>0.00%</c:formatCode>
                <c:ptCount val="7"/>
                <c:pt idx="0">
                  <c:v>0.98980000000000001</c:v>
                </c:pt>
                <c:pt idx="1">
                  <c:v>0.98980000000000001</c:v>
                </c:pt>
                <c:pt idx="2">
                  <c:v>0.98980000000000001</c:v>
                </c:pt>
                <c:pt idx="3">
                  <c:v>0.83670000000000133</c:v>
                </c:pt>
                <c:pt idx="4">
                  <c:v>0.55100000000000005</c:v>
                </c:pt>
                <c:pt idx="5">
                  <c:v>0.42860000000000031</c:v>
                </c:pt>
                <c:pt idx="6">
                  <c:v>0.42860000000000031</c:v>
                </c:pt>
              </c:numCache>
            </c:numRef>
          </c:val>
          <c:extLst>
            <c:ext xmlns:c16="http://schemas.microsoft.com/office/drawing/2014/chart" uri="{C3380CC4-5D6E-409C-BE32-E72D297353CC}">
              <c16:uniqueId val="{00000003-AEB1-4A8B-8241-189DE9DE5D6F}"/>
            </c:ext>
          </c:extLst>
        </c:ser>
        <c:dLbls>
          <c:showLegendKey val="0"/>
          <c:showVal val="0"/>
          <c:showCatName val="0"/>
          <c:showSerName val="0"/>
          <c:showPercent val="0"/>
          <c:showBubbleSize val="0"/>
        </c:dLbls>
        <c:gapWidth val="219"/>
        <c:overlap val="-27"/>
        <c:axId val="76563584"/>
        <c:axId val="76565120"/>
      </c:barChart>
      <c:catAx>
        <c:axId val="765635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76565120"/>
        <c:crosses val="autoZero"/>
        <c:auto val="1"/>
        <c:lblAlgn val="ctr"/>
        <c:lblOffset val="100"/>
        <c:noMultiLvlLbl val="0"/>
      </c:catAx>
      <c:valAx>
        <c:axId val="76565120"/>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765635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1">
    <c:autoUpdate val="0"/>
  </c:externalData>
</c:chartSpac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E5691A-0491-4469-9DC0-0A77AF0F9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9</Pages>
  <Words>3748</Words>
  <Characters>21364</Characters>
  <Application>Microsoft Office Word</Application>
  <DocSecurity>0</DocSecurity>
  <Lines>178</Lines>
  <Paragraphs>50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 Cerroni</dc:creator>
  <cp:lastModifiedBy>Eufemia Ferrante</cp:lastModifiedBy>
  <cp:revision>6</cp:revision>
  <cp:lastPrinted>2016-07-13T07:37:00Z</cp:lastPrinted>
  <dcterms:created xsi:type="dcterms:W3CDTF">2016-07-12T17:37:00Z</dcterms:created>
  <dcterms:modified xsi:type="dcterms:W3CDTF">2016-07-13T08:17:00Z</dcterms:modified>
</cp:coreProperties>
</file>